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A55B3" w14:textId="77777777" w:rsidR="00B64360" w:rsidRPr="00D57D51" w:rsidRDefault="00B64360" w:rsidP="006E39DA">
      <w:pPr>
        <w:widowControl w:val="0"/>
        <w:tabs>
          <w:tab w:val="clear" w:pos="397"/>
          <w:tab w:val="left" w:pos="3828"/>
          <w:tab w:val="right" w:pos="9072"/>
        </w:tabs>
        <w:spacing w:line="288" w:lineRule="auto"/>
        <w:contextualSpacing/>
        <w:jc w:val="left"/>
        <w:rPr>
          <w:rFonts w:eastAsia="Times New Roman" w:cs="Times New Roman"/>
          <w:szCs w:val="20"/>
          <w:lang w:eastAsia="de-CH"/>
        </w:rPr>
      </w:pPr>
      <w:r w:rsidRPr="00D57D51">
        <w:rPr>
          <w:rFonts w:eastAsia="Times New Roman" w:cs="Times New Roman"/>
          <w:szCs w:val="20"/>
          <w:lang w:eastAsia="de-CH"/>
        </w:rPr>
        <w:t>Maxima Muster</w:t>
      </w:r>
      <w:r w:rsidRPr="00D57D51">
        <w:rPr>
          <w:rFonts w:eastAsia="Times New Roman" w:cs="Times New Roman"/>
          <w:szCs w:val="20"/>
          <w:lang w:eastAsia="de-CH"/>
        </w:rPr>
        <w:br/>
        <w:t>Mittelstrasse 33</w:t>
      </w:r>
      <w:r w:rsidRPr="00D57D51">
        <w:rPr>
          <w:rFonts w:eastAsia="Times New Roman" w:cs="Times New Roman"/>
          <w:szCs w:val="20"/>
          <w:lang w:eastAsia="de-CH"/>
        </w:rPr>
        <w:br/>
        <w:t>3012 Bern</w:t>
      </w:r>
    </w:p>
    <w:p w14:paraId="4186AE03" w14:textId="77777777" w:rsidR="00B64360" w:rsidRPr="00D57D51" w:rsidRDefault="00B64360" w:rsidP="00F51BE4">
      <w:pPr>
        <w:widowControl w:val="0"/>
        <w:tabs>
          <w:tab w:val="clear" w:pos="397"/>
        </w:tabs>
        <w:spacing w:before="120" w:line="288" w:lineRule="auto"/>
        <w:contextualSpacing/>
        <w:rPr>
          <w:rFonts w:eastAsia="Times New Roman" w:cs="Times New Roman"/>
          <w:szCs w:val="20"/>
          <w:lang w:eastAsia="de-CH"/>
        </w:rPr>
      </w:pPr>
      <w:r w:rsidRPr="00D57D51">
        <w:rPr>
          <w:rFonts w:eastAsia="Times New Roman" w:cs="Times New Roman"/>
          <w:szCs w:val="20"/>
          <w:lang w:eastAsia="de-CH"/>
        </w:rPr>
        <w:t>Matrikel-Nr. 01-999-99</w:t>
      </w:r>
    </w:p>
    <w:p w14:paraId="66CE77D6" w14:textId="77777777" w:rsidR="00633EBE" w:rsidRPr="00D57D51" w:rsidRDefault="00633EBE" w:rsidP="00F51BE4">
      <w:pPr>
        <w:widowControl w:val="0"/>
        <w:tabs>
          <w:tab w:val="clear" w:pos="397"/>
        </w:tabs>
        <w:spacing w:before="120" w:line="288" w:lineRule="auto"/>
        <w:contextualSpacing/>
        <w:rPr>
          <w:rFonts w:eastAsia="Times New Roman" w:cs="Times New Roman"/>
          <w:szCs w:val="20"/>
          <w:lang w:eastAsia="de-CH"/>
        </w:rPr>
      </w:pPr>
      <w:r w:rsidRPr="00D57D51">
        <w:rPr>
          <w:rFonts w:eastAsia="Times New Roman" w:cs="Times New Roman"/>
          <w:szCs w:val="20"/>
          <w:lang w:eastAsia="de-CH"/>
        </w:rPr>
        <w:t>maxima.muster@students.unibe.ch</w:t>
      </w:r>
    </w:p>
    <w:p w14:paraId="19D84947" w14:textId="77777777" w:rsidR="00B64360" w:rsidRDefault="00B64360" w:rsidP="00F51BE4">
      <w:pPr>
        <w:widowControl w:val="0"/>
        <w:tabs>
          <w:tab w:val="clear" w:pos="397"/>
        </w:tabs>
        <w:spacing w:before="720" w:line="288" w:lineRule="auto"/>
        <w:contextualSpacing/>
        <w:jc w:val="center"/>
        <w:rPr>
          <w:rFonts w:eastAsia="Times New Roman" w:cs="Times New Roman"/>
          <w:b/>
          <w:sz w:val="28"/>
          <w:szCs w:val="20"/>
          <w:lang w:eastAsia="de-CH"/>
        </w:rPr>
      </w:pPr>
    </w:p>
    <w:p w14:paraId="197FD7ED" w14:textId="77777777" w:rsidR="00510344" w:rsidRDefault="00510344" w:rsidP="00F51BE4">
      <w:pPr>
        <w:widowControl w:val="0"/>
        <w:tabs>
          <w:tab w:val="clear" w:pos="397"/>
        </w:tabs>
        <w:spacing w:before="720" w:line="288" w:lineRule="auto"/>
        <w:contextualSpacing/>
        <w:jc w:val="center"/>
        <w:rPr>
          <w:rFonts w:eastAsia="Times New Roman" w:cs="Times New Roman"/>
          <w:b/>
          <w:sz w:val="28"/>
          <w:szCs w:val="20"/>
          <w:lang w:eastAsia="de-CH"/>
        </w:rPr>
      </w:pPr>
    </w:p>
    <w:p w14:paraId="588B5C3D" w14:textId="77777777" w:rsidR="00510344" w:rsidRDefault="00510344" w:rsidP="00F51BE4">
      <w:pPr>
        <w:widowControl w:val="0"/>
        <w:tabs>
          <w:tab w:val="clear" w:pos="397"/>
        </w:tabs>
        <w:spacing w:before="720" w:line="288" w:lineRule="auto"/>
        <w:contextualSpacing/>
        <w:jc w:val="center"/>
        <w:rPr>
          <w:rFonts w:eastAsia="Times New Roman" w:cs="Times New Roman"/>
          <w:b/>
          <w:sz w:val="28"/>
          <w:szCs w:val="20"/>
          <w:lang w:eastAsia="de-CH"/>
        </w:rPr>
      </w:pPr>
    </w:p>
    <w:p w14:paraId="755E7263" w14:textId="77777777" w:rsidR="00510344" w:rsidRDefault="00510344" w:rsidP="00F51BE4">
      <w:pPr>
        <w:widowControl w:val="0"/>
        <w:tabs>
          <w:tab w:val="clear" w:pos="397"/>
        </w:tabs>
        <w:spacing w:before="720" w:line="288" w:lineRule="auto"/>
        <w:contextualSpacing/>
        <w:jc w:val="center"/>
        <w:rPr>
          <w:rFonts w:eastAsia="Times New Roman" w:cs="Times New Roman"/>
          <w:b/>
          <w:sz w:val="28"/>
          <w:szCs w:val="20"/>
          <w:lang w:eastAsia="de-CH"/>
        </w:rPr>
      </w:pPr>
    </w:p>
    <w:p w14:paraId="43574530" w14:textId="77777777" w:rsidR="00510344" w:rsidRDefault="00510344" w:rsidP="00F51BE4">
      <w:pPr>
        <w:widowControl w:val="0"/>
        <w:tabs>
          <w:tab w:val="clear" w:pos="397"/>
        </w:tabs>
        <w:spacing w:before="720" w:line="288" w:lineRule="auto"/>
        <w:contextualSpacing/>
        <w:jc w:val="center"/>
        <w:rPr>
          <w:rFonts w:eastAsia="Times New Roman" w:cs="Times New Roman"/>
          <w:b/>
          <w:sz w:val="28"/>
          <w:szCs w:val="20"/>
          <w:lang w:eastAsia="de-CH"/>
        </w:rPr>
      </w:pPr>
    </w:p>
    <w:p w14:paraId="06061AC8" w14:textId="77777777" w:rsidR="00510344" w:rsidRDefault="00510344" w:rsidP="00F51BE4">
      <w:pPr>
        <w:widowControl w:val="0"/>
        <w:tabs>
          <w:tab w:val="clear" w:pos="397"/>
        </w:tabs>
        <w:spacing w:before="720" w:line="288" w:lineRule="auto"/>
        <w:contextualSpacing/>
        <w:jc w:val="center"/>
        <w:rPr>
          <w:rFonts w:eastAsia="Times New Roman" w:cs="Times New Roman"/>
          <w:b/>
          <w:sz w:val="28"/>
          <w:szCs w:val="20"/>
          <w:lang w:eastAsia="de-CH"/>
        </w:rPr>
      </w:pPr>
    </w:p>
    <w:p w14:paraId="333E240D" w14:textId="77777777" w:rsidR="00510344" w:rsidRDefault="00510344" w:rsidP="00F51BE4">
      <w:pPr>
        <w:widowControl w:val="0"/>
        <w:tabs>
          <w:tab w:val="clear" w:pos="397"/>
        </w:tabs>
        <w:spacing w:before="720" w:line="288" w:lineRule="auto"/>
        <w:contextualSpacing/>
        <w:jc w:val="center"/>
        <w:rPr>
          <w:rFonts w:eastAsia="Times New Roman" w:cs="Times New Roman"/>
          <w:b/>
          <w:sz w:val="28"/>
          <w:szCs w:val="20"/>
          <w:lang w:eastAsia="de-CH"/>
        </w:rPr>
      </w:pPr>
    </w:p>
    <w:p w14:paraId="71F9E5CE" w14:textId="77777777" w:rsidR="00510344" w:rsidRDefault="00510344" w:rsidP="00F51BE4">
      <w:pPr>
        <w:widowControl w:val="0"/>
        <w:tabs>
          <w:tab w:val="clear" w:pos="397"/>
        </w:tabs>
        <w:spacing w:before="720" w:line="288" w:lineRule="auto"/>
        <w:contextualSpacing/>
        <w:jc w:val="center"/>
        <w:rPr>
          <w:rFonts w:eastAsia="Times New Roman" w:cs="Times New Roman"/>
          <w:b/>
          <w:sz w:val="28"/>
          <w:szCs w:val="20"/>
          <w:lang w:eastAsia="de-CH"/>
        </w:rPr>
      </w:pPr>
    </w:p>
    <w:p w14:paraId="1AF1FCEF" w14:textId="77777777" w:rsidR="00510344" w:rsidRDefault="00510344" w:rsidP="00F51BE4">
      <w:pPr>
        <w:widowControl w:val="0"/>
        <w:tabs>
          <w:tab w:val="clear" w:pos="397"/>
        </w:tabs>
        <w:spacing w:before="720" w:line="288" w:lineRule="auto"/>
        <w:contextualSpacing/>
        <w:jc w:val="center"/>
        <w:rPr>
          <w:rFonts w:eastAsia="Times New Roman" w:cs="Times New Roman"/>
          <w:b/>
          <w:sz w:val="28"/>
          <w:szCs w:val="20"/>
          <w:lang w:eastAsia="de-CH"/>
        </w:rPr>
      </w:pPr>
    </w:p>
    <w:p w14:paraId="50812248" w14:textId="77777777" w:rsidR="00510344" w:rsidRDefault="00510344" w:rsidP="00F51BE4">
      <w:pPr>
        <w:widowControl w:val="0"/>
        <w:tabs>
          <w:tab w:val="clear" w:pos="397"/>
        </w:tabs>
        <w:spacing w:before="720" w:line="288" w:lineRule="auto"/>
        <w:contextualSpacing/>
        <w:jc w:val="center"/>
        <w:rPr>
          <w:rFonts w:eastAsia="Times New Roman" w:cs="Times New Roman"/>
          <w:b/>
          <w:sz w:val="28"/>
          <w:szCs w:val="20"/>
          <w:lang w:eastAsia="de-CH"/>
        </w:rPr>
      </w:pPr>
    </w:p>
    <w:p w14:paraId="050D0C9C" w14:textId="77777777" w:rsidR="00510344" w:rsidRDefault="00510344" w:rsidP="00F51BE4">
      <w:pPr>
        <w:widowControl w:val="0"/>
        <w:tabs>
          <w:tab w:val="clear" w:pos="397"/>
        </w:tabs>
        <w:spacing w:before="720" w:line="288" w:lineRule="auto"/>
        <w:contextualSpacing/>
        <w:jc w:val="center"/>
        <w:rPr>
          <w:rFonts w:eastAsia="Times New Roman" w:cs="Times New Roman"/>
          <w:b/>
          <w:sz w:val="28"/>
          <w:szCs w:val="20"/>
          <w:lang w:eastAsia="de-CH"/>
        </w:rPr>
      </w:pPr>
    </w:p>
    <w:p w14:paraId="60A97817" w14:textId="77777777" w:rsidR="00510344" w:rsidRPr="00D57D51" w:rsidRDefault="00510344" w:rsidP="00F51BE4">
      <w:pPr>
        <w:widowControl w:val="0"/>
        <w:tabs>
          <w:tab w:val="clear" w:pos="397"/>
        </w:tabs>
        <w:spacing w:before="720" w:line="288" w:lineRule="auto"/>
        <w:contextualSpacing/>
        <w:jc w:val="center"/>
        <w:rPr>
          <w:rFonts w:eastAsia="Times New Roman" w:cs="Times New Roman"/>
          <w:b/>
          <w:sz w:val="28"/>
          <w:szCs w:val="20"/>
          <w:lang w:eastAsia="de-CH"/>
        </w:rPr>
      </w:pPr>
    </w:p>
    <w:p w14:paraId="6070E5C4" w14:textId="77777777" w:rsidR="00B64360" w:rsidRPr="00D57D51" w:rsidRDefault="00B64360" w:rsidP="00F51BE4">
      <w:pPr>
        <w:widowControl w:val="0"/>
        <w:tabs>
          <w:tab w:val="clear" w:pos="397"/>
        </w:tabs>
        <w:spacing w:before="720" w:line="288" w:lineRule="auto"/>
        <w:contextualSpacing/>
        <w:jc w:val="center"/>
        <w:rPr>
          <w:rFonts w:eastAsia="Times New Roman" w:cs="Times New Roman"/>
          <w:b/>
          <w:sz w:val="28"/>
          <w:szCs w:val="20"/>
          <w:lang w:eastAsia="de-CH"/>
        </w:rPr>
      </w:pPr>
    </w:p>
    <w:p w14:paraId="662B811E" w14:textId="77777777" w:rsidR="00B64360" w:rsidRPr="00D57D51" w:rsidRDefault="00B64360" w:rsidP="00F51BE4">
      <w:pPr>
        <w:widowControl w:val="0"/>
        <w:tabs>
          <w:tab w:val="clear" w:pos="397"/>
        </w:tabs>
        <w:spacing w:before="720" w:line="288" w:lineRule="auto"/>
        <w:contextualSpacing/>
        <w:jc w:val="center"/>
        <w:rPr>
          <w:rFonts w:eastAsia="Times New Roman" w:cs="Times New Roman"/>
          <w:b/>
          <w:sz w:val="28"/>
          <w:szCs w:val="20"/>
          <w:lang w:eastAsia="de-CH"/>
        </w:rPr>
      </w:pPr>
      <w:r w:rsidRPr="00D57D51">
        <w:rPr>
          <w:rFonts w:eastAsia="Times New Roman" w:cs="Times New Roman"/>
          <w:b/>
          <w:sz w:val="28"/>
          <w:szCs w:val="20"/>
          <w:lang w:eastAsia="de-CH"/>
        </w:rPr>
        <w:t>Formalia-Kompendium</w:t>
      </w:r>
    </w:p>
    <w:p w14:paraId="2E0551D6" w14:textId="77777777" w:rsidR="00794290" w:rsidRDefault="00B64360" w:rsidP="00F51BE4">
      <w:pPr>
        <w:widowControl w:val="0"/>
        <w:tabs>
          <w:tab w:val="clear" w:pos="397"/>
        </w:tabs>
        <w:spacing w:before="120" w:line="288" w:lineRule="auto"/>
        <w:contextualSpacing/>
        <w:jc w:val="center"/>
        <w:rPr>
          <w:rFonts w:eastAsia="Times New Roman" w:cs="Times New Roman"/>
          <w:i/>
          <w:sz w:val="28"/>
          <w:szCs w:val="20"/>
          <w:lang w:eastAsia="de-CH"/>
        </w:rPr>
      </w:pPr>
      <w:r w:rsidRPr="00D57D51">
        <w:rPr>
          <w:rFonts w:eastAsia="Times New Roman" w:cs="Times New Roman"/>
          <w:i/>
          <w:sz w:val="28"/>
          <w:szCs w:val="20"/>
          <w:lang w:eastAsia="de-CH"/>
        </w:rPr>
        <w:t xml:space="preserve">für das Verfassen von Falllösungen, Seminararbeiten und </w:t>
      </w:r>
    </w:p>
    <w:p w14:paraId="1D2154D6" w14:textId="77777777" w:rsidR="00B64360" w:rsidRPr="00D57D51" w:rsidRDefault="00B64360" w:rsidP="00F51BE4">
      <w:pPr>
        <w:widowControl w:val="0"/>
        <w:tabs>
          <w:tab w:val="clear" w:pos="397"/>
        </w:tabs>
        <w:spacing w:before="120" w:line="288" w:lineRule="auto"/>
        <w:contextualSpacing/>
        <w:jc w:val="center"/>
        <w:rPr>
          <w:rFonts w:eastAsia="Times New Roman" w:cs="Times New Roman"/>
          <w:i/>
          <w:sz w:val="28"/>
          <w:szCs w:val="20"/>
          <w:lang w:eastAsia="de-CH"/>
        </w:rPr>
      </w:pPr>
      <w:r w:rsidRPr="00D57D51">
        <w:rPr>
          <w:rFonts w:eastAsia="Times New Roman" w:cs="Times New Roman"/>
          <w:i/>
          <w:sz w:val="28"/>
          <w:szCs w:val="20"/>
          <w:lang w:eastAsia="de-CH"/>
        </w:rPr>
        <w:t>Masterarbe</w:t>
      </w:r>
      <w:r w:rsidR="00794290">
        <w:rPr>
          <w:rFonts w:eastAsia="Times New Roman" w:cs="Times New Roman"/>
          <w:i/>
          <w:sz w:val="28"/>
          <w:szCs w:val="20"/>
          <w:lang w:eastAsia="de-CH"/>
        </w:rPr>
        <w:t>i</w:t>
      </w:r>
      <w:r w:rsidRPr="00D57D51">
        <w:rPr>
          <w:rFonts w:eastAsia="Times New Roman" w:cs="Times New Roman"/>
          <w:i/>
          <w:sz w:val="28"/>
          <w:szCs w:val="20"/>
          <w:lang w:eastAsia="de-CH"/>
        </w:rPr>
        <w:t xml:space="preserve">ten </w:t>
      </w:r>
    </w:p>
    <w:p w14:paraId="22C06445" w14:textId="77777777" w:rsidR="00B64360" w:rsidRPr="00D57D51" w:rsidRDefault="00B64360" w:rsidP="00F51BE4">
      <w:pPr>
        <w:widowControl w:val="0"/>
        <w:tabs>
          <w:tab w:val="clear" w:pos="397"/>
        </w:tabs>
        <w:spacing w:before="120" w:line="288" w:lineRule="auto"/>
        <w:contextualSpacing/>
        <w:jc w:val="center"/>
        <w:rPr>
          <w:rFonts w:eastAsia="Times New Roman" w:cs="Times New Roman"/>
          <w:i/>
          <w:sz w:val="28"/>
          <w:szCs w:val="20"/>
          <w:lang w:eastAsia="de-CH"/>
        </w:rPr>
      </w:pPr>
      <w:r w:rsidRPr="00D57D51">
        <w:rPr>
          <w:rFonts w:eastAsia="Times New Roman" w:cs="Times New Roman"/>
          <w:i/>
          <w:sz w:val="28"/>
          <w:szCs w:val="20"/>
          <w:lang w:eastAsia="de-CH"/>
        </w:rPr>
        <w:t>Lehrstuhl Prof. Dr. Susan Emmenegger</w:t>
      </w:r>
    </w:p>
    <w:p w14:paraId="49D36C54" w14:textId="77777777" w:rsidR="00B64360" w:rsidRPr="00D57D51" w:rsidRDefault="00B64360" w:rsidP="00F51BE4">
      <w:pPr>
        <w:spacing w:line="288" w:lineRule="auto"/>
        <w:contextualSpacing/>
        <w:rPr>
          <w:rFonts w:cs="Times New Roman"/>
          <w:b/>
          <w:sz w:val="32"/>
          <w:szCs w:val="32"/>
        </w:rPr>
      </w:pPr>
    </w:p>
    <w:p w14:paraId="4EEFB45F" w14:textId="77777777" w:rsidR="00E57C79" w:rsidRPr="00D57D51" w:rsidRDefault="00E57C79" w:rsidP="00F51BE4">
      <w:pPr>
        <w:spacing w:line="288" w:lineRule="auto"/>
        <w:contextualSpacing/>
        <w:rPr>
          <w:rFonts w:cs="Times New Roman"/>
        </w:rPr>
      </w:pPr>
    </w:p>
    <w:p w14:paraId="5CE782E4" w14:textId="77777777" w:rsidR="00660BB7" w:rsidRDefault="00FE4183" w:rsidP="00F51BE4">
      <w:pPr>
        <w:tabs>
          <w:tab w:val="clear" w:pos="397"/>
        </w:tabs>
        <w:spacing w:after="200" w:line="288" w:lineRule="auto"/>
        <w:contextualSpacing/>
        <w:jc w:val="left"/>
        <w:rPr>
          <w:rFonts w:cs="Times New Roman"/>
          <w:b/>
        </w:rPr>
        <w:sectPr w:rsidR="00660BB7" w:rsidSect="00660BB7">
          <w:headerReference w:type="even" r:id="rId8"/>
          <w:headerReference w:type="default" r:id="rId9"/>
          <w:footerReference w:type="even" r:id="rId10"/>
          <w:footerReference w:type="default" r:id="rId11"/>
          <w:headerReference w:type="first" r:id="rId12"/>
          <w:footerReference w:type="first" r:id="rId13"/>
          <w:pgSz w:w="11906" w:h="16838"/>
          <w:pgMar w:top="1418" w:right="2268" w:bottom="1418" w:left="1418" w:header="851" w:footer="1247" w:gutter="0"/>
          <w:pgNumType w:fmt="upperRoman" w:start="1" w:chapStyle="1"/>
          <w:cols w:space="708"/>
          <w:titlePg/>
          <w:docGrid w:linePitch="360"/>
        </w:sectPr>
      </w:pPr>
      <w:bookmarkStart w:id="0" w:name="_Toc408390208"/>
      <w:bookmarkStart w:id="1" w:name="_Toc408390309"/>
      <w:bookmarkStart w:id="2" w:name="_Toc408392775"/>
      <w:bookmarkStart w:id="3" w:name="_Toc408393093"/>
      <w:bookmarkStart w:id="4" w:name="_Toc408394681"/>
      <w:bookmarkStart w:id="5" w:name="_Toc408394877"/>
      <w:r>
        <w:rPr>
          <w:rFonts w:cs="Times New Roman"/>
          <w:b/>
        </w:rPr>
        <w:br w:type="page"/>
      </w:r>
    </w:p>
    <w:p w14:paraId="389551A0" w14:textId="52E7A2E7" w:rsidR="00FE4183" w:rsidRPr="00D57D51" w:rsidRDefault="00FE4183" w:rsidP="00010724">
      <w:pPr>
        <w:pStyle w:val="Verzeichnistitel"/>
        <w:spacing w:before="200" w:line="288" w:lineRule="auto"/>
        <w:contextualSpacing/>
        <w:outlineLvl w:val="9"/>
        <w:rPr>
          <w:rFonts w:ascii="Times New Roman" w:hAnsi="Times New Roman" w:cs="Times New Roman"/>
        </w:rPr>
      </w:pPr>
      <w:r w:rsidRPr="00D57D51">
        <w:rPr>
          <w:rFonts w:ascii="Times New Roman" w:hAnsi="Times New Roman" w:cs="Times New Roman"/>
        </w:rPr>
        <w:lastRenderedPageBreak/>
        <w:t>Inhaltsverzeichnis</w:t>
      </w:r>
      <w:r w:rsidR="0018138C">
        <w:rPr>
          <w:rStyle w:val="Funotenzeichen"/>
          <w:rFonts w:ascii="Times New Roman" w:hAnsi="Times New Roman" w:cs="Times New Roman"/>
        </w:rPr>
        <w:footnoteReference w:id="1"/>
      </w:r>
    </w:p>
    <w:p w14:paraId="147FA835" w14:textId="481DBEED" w:rsidR="003E7A5F" w:rsidRDefault="00EC71B3">
      <w:pPr>
        <w:pStyle w:val="Verzeichnis6"/>
        <w:rPr>
          <w:rFonts w:asciiTheme="minorHAnsi" w:eastAsiaTheme="minorEastAsia" w:hAnsiTheme="minorHAnsi"/>
          <w:sz w:val="22"/>
          <w:lang/>
        </w:rPr>
      </w:pPr>
      <w:r>
        <w:rPr>
          <w:rFonts w:ascii="Times New Roman" w:hAnsi="Times New Roman" w:cs="Times New Roman"/>
          <w:b/>
        </w:rPr>
        <w:fldChar w:fldCharType="begin"/>
      </w:r>
      <w:r>
        <w:rPr>
          <w:rFonts w:ascii="Times New Roman" w:hAnsi="Times New Roman" w:cs="Times New Roman"/>
          <w:b/>
        </w:rPr>
        <w:instrText xml:space="preserve"> TOC \o "1-6" \u </w:instrText>
      </w:r>
      <w:r>
        <w:rPr>
          <w:rFonts w:ascii="Times New Roman" w:hAnsi="Times New Roman" w:cs="Times New Roman"/>
          <w:b/>
        </w:rPr>
        <w:fldChar w:fldCharType="separate"/>
      </w:r>
      <w:r w:rsidR="003E7A5F" w:rsidRPr="00456084">
        <w:rPr>
          <w:rFonts w:ascii="Times New Roman" w:hAnsi="Times New Roman" w:cs="Times New Roman"/>
        </w:rPr>
        <w:t>Literaturverzeichnis</w:t>
      </w:r>
      <w:r w:rsidR="003E7A5F">
        <w:tab/>
      </w:r>
      <w:r w:rsidR="003E7A5F">
        <w:fldChar w:fldCharType="begin"/>
      </w:r>
      <w:r w:rsidR="003E7A5F">
        <w:instrText xml:space="preserve"> PAGEREF _Toc97043958 \h </w:instrText>
      </w:r>
      <w:r w:rsidR="003E7A5F">
        <w:fldChar w:fldCharType="separate"/>
      </w:r>
      <w:r w:rsidR="009B28AC">
        <w:t>3</w:t>
      </w:r>
      <w:r w:rsidR="003E7A5F">
        <w:fldChar w:fldCharType="end"/>
      </w:r>
    </w:p>
    <w:p w14:paraId="0064AF95" w14:textId="02CBA1DC" w:rsidR="003E7A5F" w:rsidRDefault="003E7A5F">
      <w:pPr>
        <w:pStyle w:val="Verzeichnis6"/>
        <w:rPr>
          <w:rFonts w:asciiTheme="minorHAnsi" w:eastAsiaTheme="minorEastAsia" w:hAnsiTheme="minorHAnsi"/>
          <w:sz w:val="22"/>
          <w:lang/>
        </w:rPr>
      </w:pPr>
      <w:r w:rsidRPr="00456084">
        <w:rPr>
          <w:rFonts w:ascii="Times New Roman" w:hAnsi="Times New Roman" w:cs="Times New Roman"/>
        </w:rPr>
        <w:t>Materialienverzeichnis</w:t>
      </w:r>
      <w:r>
        <w:tab/>
      </w:r>
      <w:r>
        <w:fldChar w:fldCharType="begin"/>
      </w:r>
      <w:r>
        <w:instrText xml:space="preserve"> PAGEREF _Toc97043959 \h </w:instrText>
      </w:r>
      <w:r>
        <w:fldChar w:fldCharType="separate"/>
      </w:r>
      <w:r w:rsidR="009B28AC">
        <w:t>7</w:t>
      </w:r>
      <w:r>
        <w:fldChar w:fldCharType="end"/>
      </w:r>
    </w:p>
    <w:p w14:paraId="31B08EB1" w14:textId="69355E54" w:rsidR="003E7A5F" w:rsidRDefault="003E7A5F">
      <w:pPr>
        <w:pStyle w:val="Verzeichnis6"/>
        <w:rPr>
          <w:rFonts w:asciiTheme="minorHAnsi" w:eastAsiaTheme="minorEastAsia" w:hAnsiTheme="minorHAnsi"/>
          <w:sz w:val="22"/>
          <w:lang/>
        </w:rPr>
      </w:pPr>
      <w:r>
        <w:t>Abkürzungsverzeichnis</w:t>
      </w:r>
      <w:r>
        <w:tab/>
      </w:r>
      <w:r>
        <w:fldChar w:fldCharType="begin"/>
      </w:r>
      <w:r>
        <w:instrText xml:space="preserve"> PAGEREF _Toc97043960 \h </w:instrText>
      </w:r>
      <w:r>
        <w:fldChar w:fldCharType="separate"/>
      </w:r>
      <w:r w:rsidR="009B28AC">
        <w:t>9</w:t>
      </w:r>
      <w:r>
        <w:fldChar w:fldCharType="end"/>
      </w:r>
    </w:p>
    <w:p w14:paraId="5D5EF28B" w14:textId="62A5D4C8" w:rsidR="003E7A5F" w:rsidRDefault="003E7A5F">
      <w:pPr>
        <w:pStyle w:val="Verzeichnis1"/>
        <w:rPr>
          <w:rFonts w:asciiTheme="minorHAnsi" w:eastAsiaTheme="minorEastAsia" w:hAnsiTheme="minorHAnsi"/>
          <w:noProof/>
          <w:sz w:val="22"/>
          <w:lang/>
        </w:rPr>
      </w:pPr>
      <w:r w:rsidRPr="00456084">
        <w:rPr>
          <w:rFonts w:ascii="Times New Roman" w:hAnsi="Times New Roman" w:cs="Times New Roman"/>
          <w:noProof/>
        </w:rPr>
        <w:t>I.</w:t>
      </w:r>
      <w:r>
        <w:rPr>
          <w:rFonts w:asciiTheme="minorHAnsi" w:eastAsiaTheme="minorEastAsia" w:hAnsiTheme="minorHAnsi"/>
          <w:noProof/>
          <w:sz w:val="22"/>
          <w:lang/>
        </w:rPr>
        <w:tab/>
      </w:r>
      <w:r w:rsidRPr="00456084">
        <w:rPr>
          <w:rFonts w:ascii="Times New Roman" w:hAnsi="Times New Roman" w:cs="Times New Roman"/>
          <w:noProof/>
        </w:rPr>
        <w:t>Einleitung</w:t>
      </w:r>
      <w:r>
        <w:rPr>
          <w:noProof/>
        </w:rPr>
        <w:tab/>
      </w:r>
      <w:r>
        <w:rPr>
          <w:noProof/>
        </w:rPr>
        <w:fldChar w:fldCharType="begin"/>
      </w:r>
      <w:r>
        <w:rPr>
          <w:noProof/>
        </w:rPr>
        <w:instrText xml:space="preserve"> PAGEREF _Toc97043961 \h </w:instrText>
      </w:r>
      <w:r>
        <w:rPr>
          <w:noProof/>
        </w:rPr>
      </w:r>
      <w:r>
        <w:rPr>
          <w:noProof/>
        </w:rPr>
        <w:fldChar w:fldCharType="separate"/>
      </w:r>
      <w:r w:rsidR="009B28AC">
        <w:rPr>
          <w:noProof/>
        </w:rPr>
        <w:t>14</w:t>
      </w:r>
      <w:r>
        <w:rPr>
          <w:noProof/>
        </w:rPr>
        <w:fldChar w:fldCharType="end"/>
      </w:r>
    </w:p>
    <w:p w14:paraId="1E8BA959" w14:textId="65A25480" w:rsidR="003E7A5F" w:rsidRDefault="003E7A5F">
      <w:pPr>
        <w:pStyle w:val="Verzeichnis1"/>
        <w:rPr>
          <w:rFonts w:asciiTheme="minorHAnsi" w:eastAsiaTheme="minorEastAsia" w:hAnsiTheme="minorHAnsi"/>
          <w:noProof/>
          <w:sz w:val="22"/>
          <w:lang/>
        </w:rPr>
      </w:pPr>
      <w:r w:rsidRPr="00456084">
        <w:rPr>
          <w:rFonts w:ascii="Times New Roman" w:hAnsi="Times New Roman" w:cs="Times New Roman"/>
          <w:noProof/>
        </w:rPr>
        <w:t>II.</w:t>
      </w:r>
      <w:r>
        <w:rPr>
          <w:rFonts w:asciiTheme="minorHAnsi" w:eastAsiaTheme="minorEastAsia" w:hAnsiTheme="minorHAnsi"/>
          <w:noProof/>
          <w:sz w:val="22"/>
          <w:lang/>
        </w:rPr>
        <w:tab/>
      </w:r>
      <w:r w:rsidRPr="00456084">
        <w:rPr>
          <w:rFonts w:ascii="Times New Roman" w:hAnsi="Times New Roman" w:cs="Times New Roman"/>
          <w:noProof/>
        </w:rPr>
        <w:t>Gestaltung</w:t>
      </w:r>
      <w:r>
        <w:rPr>
          <w:noProof/>
        </w:rPr>
        <w:tab/>
      </w:r>
      <w:r>
        <w:rPr>
          <w:noProof/>
        </w:rPr>
        <w:fldChar w:fldCharType="begin"/>
      </w:r>
      <w:r>
        <w:rPr>
          <w:noProof/>
        </w:rPr>
        <w:instrText xml:space="preserve"> PAGEREF _Toc97043962 \h </w:instrText>
      </w:r>
      <w:r>
        <w:rPr>
          <w:noProof/>
        </w:rPr>
      </w:r>
      <w:r>
        <w:rPr>
          <w:noProof/>
        </w:rPr>
        <w:fldChar w:fldCharType="separate"/>
      </w:r>
      <w:r w:rsidR="009B28AC">
        <w:rPr>
          <w:noProof/>
        </w:rPr>
        <w:t>14</w:t>
      </w:r>
      <w:r>
        <w:rPr>
          <w:noProof/>
        </w:rPr>
        <w:fldChar w:fldCharType="end"/>
      </w:r>
    </w:p>
    <w:p w14:paraId="6EEC6F8E" w14:textId="0B332B70" w:rsidR="003E7A5F" w:rsidRDefault="003E7A5F">
      <w:pPr>
        <w:pStyle w:val="Verzeichnis2"/>
        <w:tabs>
          <w:tab w:val="left" w:pos="1021"/>
        </w:tabs>
        <w:rPr>
          <w:rFonts w:asciiTheme="minorHAnsi" w:eastAsiaTheme="minorEastAsia" w:hAnsiTheme="minorHAnsi"/>
          <w:sz w:val="22"/>
          <w:lang/>
        </w:rPr>
      </w:pPr>
      <w:r>
        <w:t>1.</w:t>
      </w:r>
      <w:r>
        <w:rPr>
          <w:rFonts w:asciiTheme="minorHAnsi" w:eastAsiaTheme="minorEastAsia" w:hAnsiTheme="minorHAnsi"/>
          <w:sz w:val="22"/>
          <w:lang/>
        </w:rPr>
        <w:tab/>
      </w:r>
      <w:r>
        <w:t>Seitenlayout</w:t>
      </w:r>
      <w:r>
        <w:tab/>
      </w:r>
      <w:r>
        <w:fldChar w:fldCharType="begin"/>
      </w:r>
      <w:r>
        <w:instrText xml:space="preserve"> PAGEREF _Toc97043963 \h </w:instrText>
      </w:r>
      <w:r>
        <w:fldChar w:fldCharType="separate"/>
      </w:r>
      <w:r w:rsidR="009B28AC">
        <w:t>14</w:t>
      </w:r>
      <w:r>
        <w:fldChar w:fldCharType="end"/>
      </w:r>
    </w:p>
    <w:p w14:paraId="7F808B93" w14:textId="7F672609" w:rsidR="003E7A5F" w:rsidRDefault="003E7A5F">
      <w:pPr>
        <w:pStyle w:val="Verzeichnis2"/>
        <w:tabs>
          <w:tab w:val="left" w:pos="1021"/>
        </w:tabs>
        <w:rPr>
          <w:rFonts w:asciiTheme="minorHAnsi" w:eastAsiaTheme="minorEastAsia" w:hAnsiTheme="minorHAnsi"/>
          <w:sz w:val="22"/>
          <w:lang/>
        </w:rPr>
      </w:pPr>
      <w:r w:rsidRPr="00456084">
        <w:rPr>
          <w:rFonts w:ascii="Times New Roman" w:hAnsi="Times New Roman" w:cs="Times New Roman"/>
        </w:rPr>
        <w:t>2.</w:t>
      </w:r>
      <w:r>
        <w:rPr>
          <w:rFonts w:asciiTheme="minorHAnsi" w:eastAsiaTheme="minorEastAsia" w:hAnsiTheme="minorHAnsi"/>
          <w:sz w:val="22"/>
          <w:lang/>
        </w:rPr>
        <w:tab/>
      </w:r>
      <w:r w:rsidRPr="00456084">
        <w:rPr>
          <w:rFonts w:ascii="Times New Roman" w:hAnsi="Times New Roman" w:cs="Times New Roman"/>
        </w:rPr>
        <w:t>Deckblatt</w:t>
      </w:r>
      <w:r>
        <w:tab/>
      </w:r>
      <w:r>
        <w:fldChar w:fldCharType="begin"/>
      </w:r>
      <w:r>
        <w:instrText xml:space="preserve"> PAGEREF _Toc97043964 \h </w:instrText>
      </w:r>
      <w:r>
        <w:fldChar w:fldCharType="separate"/>
      </w:r>
      <w:r w:rsidR="009B28AC">
        <w:t>15</w:t>
      </w:r>
      <w:r>
        <w:fldChar w:fldCharType="end"/>
      </w:r>
    </w:p>
    <w:p w14:paraId="01778350" w14:textId="16CA5EFC" w:rsidR="003E7A5F" w:rsidRDefault="003E7A5F">
      <w:pPr>
        <w:pStyle w:val="Verzeichnis1"/>
        <w:rPr>
          <w:rFonts w:asciiTheme="minorHAnsi" w:eastAsiaTheme="minorEastAsia" w:hAnsiTheme="minorHAnsi"/>
          <w:noProof/>
          <w:sz w:val="22"/>
          <w:lang/>
        </w:rPr>
      </w:pPr>
      <w:r w:rsidRPr="00456084">
        <w:rPr>
          <w:rFonts w:ascii="Times New Roman" w:hAnsi="Times New Roman" w:cs="Times New Roman"/>
          <w:noProof/>
        </w:rPr>
        <w:t>III.</w:t>
      </w:r>
      <w:r>
        <w:rPr>
          <w:rFonts w:asciiTheme="minorHAnsi" w:eastAsiaTheme="minorEastAsia" w:hAnsiTheme="minorHAnsi"/>
          <w:noProof/>
          <w:sz w:val="22"/>
          <w:lang/>
        </w:rPr>
        <w:tab/>
      </w:r>
      <w:r w:rsidRPr="00456084">
        <w:rPr>
          <w:rFonts w:ascii="Times New Roman" w:hAnsi="Times New Roman" w:cs="Times New Roman"/>
          <w:noProof/>
        </w:rPr>
        <w:t>Aufbau der Arbeit</w:t>
      </w:r>
      <w:r>
        <w:rPr>
          <w:noProof/>
        </w:rPr>
        <w:tab/>
      </w:r>
      <w:r>
        <w:rPr>
          <w:noProof/>
        </w:rPr>
        <w:fldChar w:fldCharType="begin"/>
      </w:r>
      <w:r>
        <w:rPr>
          <w:noProof/>
        </w:rPr>
        <w:instrText xml:space="preserve"> PAGEREF _Toc97043965 \h </w:instrText>
      </w:r>
      <w:r>
        <w:rPr>
          <w:noProof/>
        </w:rPr>
      </w:r>
      <w:r>
        <w:rPr>
          <w:noProof/>
        </w:rPr>
        <w:fldChar w:fldCharType="separate"/>
      </w:r>
      <w:r w:rsidR="009B28AC">
        <w:rPr>
          <w:noProof/>
        </w:rPr>
        <w:t>15</w:t>
      </w:r>
      <w:r>
        <w:rPr>
          <w:noProof/>
        </w:rPr>
        <w:fldChar w:fldCharType="end"/>
      </w:r>
    </w:p>
    <w:p w14:paraId="60F53FBE" w14:textId="68E95A41" w:rsidR="003E7A5F" w:rsidRDefault="003E7A5F">
      <w:pPr>
        <w:pStyle w:val="Verzeichnis1"/>
        <w:rPr>
          <w:rFonts w:asciiTheme="minorHAnsi" w:eastAsiaTheme="minorEastAsia" w:hAnsiTheme="minorHAnsi"/>
          <w:noProof/>
          <w:sz w:val="22"/>
          <w:lang/>
        </w:rPr>
      </w:pPr>
      <w:r w:rsidRPr="00456084">
        <w:rPr>
          <w:rFonts w:ascii="Times New Roman" w:hAnsi="Times New Roman" w:cs="Times New Roman"/>
          <w:noProof/>
        </w:rPr>
        <w:t>IV.</w:t>
      </w:r>
      <w:r>
        <w:rPr>
          <w:rFonts w:asciiTheme="minorHAnsi" w:eastAsiaTheme="minorEastAsia" w:hAnsiTheme="minorHAnsi"/>
          <w:noProof/>
          <w:sz w:val="22"/>
          <w:lang/>
        </w:rPr>
        <w:tab/>
      </w:r>
      <w:r w:rsidRPr="00456084">
        <w:rPr>
          <w:rFonts w:ascii="Times New Roman" w:hAnsi="Times New Roman" w:cs="Times New Roman"/>
          <w:noProof/>
        </w:rPr>
        <w:t>Aufbau des Literaturverzeichnisses</w:t>
      </w:r>
      <w:r>
        <w:rPr>
          <w:noProof/>
        </w:rPr>
        <w:tab/>
      </w:r>
      <w:r>
        <w:rPr>
          <w:noProof/>
        </w:rPr>
        <w:fldChar w:fldCharType="begin"/>
      </w:r>
      <w:r>
        <w:rPr>
          <w:noProof/>
        </w:rPr>
        <w:instrText xml:space="preserve"> PAGEREF _Toc97043966 \h </w:instrText>
      </w:r>
      <w:r>
        <w:rPr>
          <w:noProof/>
        </w:rPr>
      </w:r>
      <w:r>
        <w:rPr>
          <w:noProof/>
        </w:rPr>
        <w:fldChar w:fldCharType="separate"/>
      </w:r>
      <w:r w:rsidR="009B28AC">
        <w:rPr>
          <w:noProof/>
        </w:rPr>
        <w:t>16</w:t>
      </w:r>
      <w:r>
        <w:rPr>
          <w:noProof/>
        </w:rPr>
        <w:fldChar w:fldCharType="end"/>
      </w:r>
    </w:p>
    <w:p w14:paraId="3B9B5842" w14:textId="1C57D6EE" w:rsidR="003E7A5F" w:rsidRDefault="003E7A5F">
      <w:pPr>
        <w:pStyle w:val="Verzeichnis2"/>
        <w:tabs>
          <w:tab w:val="left" w:pos="1021"/>
        </w:tabs>
        <w:rPr>
          <w:rFonts w:asciiTheme="minorHAnsi" w:eastAsiaTheme="minorEastAsia" w:hAnsiTheme="minorHAnsi"/>
          <w:sz w:val="22"/>
          <w:lang/>
        </w:rPr>
      </w:pPr>
      <w:r w:rsidRPr="00456084">
        <w:rPr>
          <w:rFonts w:ascii="Times New Roman" w:hAnsi="Times New Roman" w:cs="Times New Roman"/>
        </w:rPr>
        <w:t>1.</w:t>
      </w:r>
      <w:r>
        <w:rPr>
          <w:rFonts w:asciiTheme="minorHAnsi" w:eastAsiaTheme="minorEastAsia" w:hAnsiTheme="minorHAnsi"/>
          <w:sz w:val="22"/>
          <w:lang/>
        </w:rPr>
        <w:tab/>
      </w:r>
      <w:r w:rsidRPr="00456084">
        <w:rPr>
          <w:rFonts w:ascii="Times New Roman" w:hAnsi="Times New Roman" w:cs="Times New Roman"/>
        </w:rPr>
        <w:t>Form</w:t>
      </w:r>
      <w:r>
        <w:tab/>
      </w:r>
      <w:r>
        <w:fldChar w:fldCharType="begin"/>
      </w:r>
      <w:r>
        <w:instrText xml:space="preserve"> PAGEREF _Toc97043967 \h </w:instrText>
      </w:r>
      <w:r>
        <w:fldChar w:fldCharType="separate"/>
      </w:r>
      <w:r w:rsidR="009B28AC">
        <w:t>16</w:t>
      </w:r>
      <w:r>
        <w:fldChar w:fldCharType="end"/>
      </w:r>
    </w:p>
    <w:p w14:paraId="5195A10F" w14:textId="725F5FFD" w:rsidR="003E7A5F" w:rsidRDefault="003E7A5F">
      <w:pPr>
        <w:pStyle w:val="Verzeichnis2"/>
        <w:tabs>
          <w:tab w:val="left" w:pos="1021"/>
        </w:tabs>
        <w:rPr>
          <w:rFonts w:asciiTheme="minorHAnsi" w:eastAsiaTheme="minorEastAsia" w:hAnsiTheme="minorHAnsi"/>
          <w:sz w:val="22"/>
          <w:lang/>
        </w:rPr>
      </w:pPr>
      <w:r w:rsidRPr="00456084">
        <w:rPr>
          <w:rFonts w:ascii="Times New Roman" w:hAnsi="Times New Roman" w:cs="Times New Roman"/>
        </w:rPr>
        <w:t>2.</w:t>
      </w:r>
      <w:r>
        <w:rPr>
          <w:rFonts w:asciiTheme="minorHAnsi" w:eastAsiaTheme="minorEastAsia" w:hAnsiTheme="minorHAnsi"/>
          <w:sz w:val="22"/>
          <w:lang/>
        </w:rPr>
        <w:tab/>
      </w:r>
      <w:r w:rsidRPr="00456084">
        <w:rPr>
          <w:rFonts w:ascii="Times New Roman" w:hAnsi="Times New Roman" w:cs="Times New Roman"/>
        </w:rPr>
        <w:t>Inhalt</w:t>
      </w:r>
      <w:r>
        <w:tab/>
      </w:r>
      <w:r>
        <w:fldChar w:fldCharType="begin"/>
      </w:r>
      <w:r>
        <w:instrText xml:space="preserve"> PAGEREF _Toc97043968 \h </w:instrText>
      </w:r>
      <w:r>
        <w:fldChar w:fldCharType="separate"/>
      </w:r>
      <w:r w:rsidR="009B28AC">
        <w:t>17</w:t>
      </w:r>
      <w:r>
        <w:fldChar w:fldCharType="end"/>
      </w:r>
    </w:p>
    <w:p w14:paraId="7450A86B" w14:textId="1FEF5EB4" w:rsidR="003E7A5F" w:rsidRDefault="003E7A5F">
      <w:pPr>
        <w:pStyle w:val="Verzeichnis2"/>
        <w:tabs>
          <w:tab w:val="left" w:pos="1021"/>
        </w:tabs>
        <w:rPr>
          <w:rFonts w:asciiTheme="minorHAnsi" w:eastAsiaTheme="minorEastAsia" w:hAnsiTheme="minorHAnsi"/>
          <w:sz w:val="22"/>
          <w:lang/>
        </w:rPr>
      </w:pPr>
      <w:r w:rsidRPr="00456084">
        <w:rPr>
          <w:rFonts w:ascii="Times New Roman" w:hAnsi="Times New Roman" w:cs="Times New Roman"/>
        </w:rPr>
        <w:t>3.</w:t>
      </w:r>
      <w:r>
        <w:rPr>
          <w:rFonts w:asciiTheme="minorHAnsi" w:eastAsiaTheme="minorEastAsia" w:hAnsiTheme="minorHAnsi"/>
          <w:sz w:val="22"/>
          <w:lang/>
        </w:rPr>
        <w:tab/>
      </w:r>
      <w:r w:rsidRPr="00456084">
        <w:rPr>
          <w:rFonts w:ascii="Times New Roman" w:hAnsi="Times New Roman" w:cs="Times New Roman"/>
        </w:rPr>
        <w:t>Einzelfälle</w:t>
      </w:r>
      <w:r>
        <w:tab/>
      </w:r>
      <w:r>
        <w:fldChar w:fldCharType="begin"/>
      </w:r>
      <w:r>
        <w:instrText xml:space="preserve"> PAGEREF _Toc97043969 \h </w:instrText>
      </w:r>
      <w:r>
        <w:fldChar w:fldCharType="separate"/>
      </w:r>
      <w:r w:rsidR="009B28AC">
        <w:t>17</w:t>
      </w:r>
      <w:r>
        <w:fldChar w:fldCharType="end"/>
      </w:r>
    </w:p>
    <w:p w14:paraId="555A0742" w14:textId="49230412" w:rsidR="003E7A5F" w:rsidRDefault="003E7A5F">
      <w:pPr>
        <w:pStyle w:val="Verzeichnis3"/>
        <w:tabs>
          <w:tab w:val="left" w:pos="1475"/>
        </w:tabs>
        <w:rPr>
          <w:rFonts w:asciiTheme="minorHAnsi" w:eastAsiaTheme="minorEastAsia" w:hAnsiTheme="minorHAnsi"/>
          <w:noProof/>
          <w:sz w:val="22"/>
          <w:lang/>
        </w:rPr>
      </w:pPr>
      <w:r w:rsidRPr="00456084">
        <w:rPr>
          <w:rFonts w:ascii="Times New Roman" w:hAnsi="Times New Roman" w:cs="Times New Roman"/>
          <w:noProof/>
        </w:rPr>
        <w:t>a)</w:t>
      </w:r>
      <w:r>
        <w:rPr>
          <w:rFonts w:asciiTheme="minorHAnsi" w:eastAsiaTheme="minorEastAsia" w:hAnsiTheme="minorHAnsi"/>
          <w:noProof/>
          <w:sz w:val="22"/>
          <w:lang/>
        </w:rPr>
        <w:tab/>
      </w:r>
      <w:r w:rsidRPr="00456084">
        <w:rPr>
          <w:rFonts w:ascii="Times New Roman" w:hAnsi="Times New Roman" w:cs="Times New Roman"/>
          <w:noProof/>
        </w:rPr>
        <w:t>Bücher</w:t>
      </w:r>
      <w:r>
        <w:rPr>
          <w:noProof/>
        </w:rPr>
        <w:tab/>
      </w:r>
      <w:r>
        <w:rPr>
          <w:noProof/>
        </w:rPr>
        <w:fldChar w:fldCharType="begin"/>
      </w:r>
      <w:r>
        <w:rPr>
          <w:noProof/>
        </w:rPr>
        <w:instrText xml:space="preserve"> PAGEREF _Toc97043970 \h </w:instrText>
      </w:r>
      <w:r>
        <w:rPr>
          <w:noProof/>
        </w:rPr>
      </w:r>
      <w:r>
        <w:rPr>
          <w:noProof/>
        </w:rPr>
        <w:fldChar w:fldCharType="separate"/>
      </w:r>
      <w:r w:rsidR="009B28AC">
        <w:rPr>
          <w:noProof/>
        </w:rPr>
        <w:t>17</w:t>
      </w:r>
      <w:r>
        <w:rPr>
          <w:noProof/>
        </w:rPr>
        <w:fldChar w:fldCharType="end"/>
      </w:r>
    </w:p>
    <w:p w14:paraId="79D54883" w14:textId="0193B40F" w:rsidR="003E7A5F" w:rsidRDefault="003E7A5F">
      <w:pPr>
        <w:pStyle w:val="Verzeichnis3"/>
        <w:tabs>
          <w:tab w:val="left" w:pos="1475"/>
        </w:tabs>
        <w:rPr>
          <w:rFonts w:asciiTheme="minorHAnsi" w:eastAsiaTheme="minorEastAsia" w:hAnsiTheme="minorHAnsi"/>
          <w:noProof/>
          <w:sz w:val="22"/>
          <w:lang/>
        </w:rPr>
      </w:pPr>
      <w:r w:rsidRPr="00456084">
        <w:rPr>
          <w:rFonts w:ascii="Times New Roman" w:hAnsi="Times New Roman" w:cs="Times New Roman"/>
          <w:noProof/>
        </w:rPr>
        <w:t>b)</w:t>
      </w:r>
      <w:r>
        <w:rPr>
          <w:rFonts w:asciiTheme="minorHAnsi" w:eastAsiaTheme="minorEastAsia" w:hAnsiTheme="minorHAnsi"/>
          <w:noProof/>
          <w:sz w:val="22"/>
          <w:lang/>
        </w:rPr>
        <w:tab/>
      </w:r>
      <w:r w:rsidRPr="00456084">
        <w:rPr>
          <w:rFonts w:ascii="Times New Roman" w:hAnsi="Times New Roman" w:cs="Times New Roman"/>
          <w:noProof/>
        </w:rPr>
        <w:t>Zeitschriften</w:t>
      </w:r>
      <w:r>
        <w:rPr>
          <w:noProof/>
        </w:rPr>
        <w:tab/>
      </w:r>
      <w:r>
        <w:rPr>
          <w:noProof/>
        </w:rPr>
        <w:fldChar w:fldCharType="begin"/>
      </w:r>
      <w:r>
        <w:rPr>
          <w:noProof/>
        </w:rPr>
        <w:instrText xml:space="preserve"> PAGEREF _Toc97043971 \h </w:instrText>
      </w:r>
      <w:r>
        <w:rPr>
          <w:noProof/>
        </w:rPr>
      </w:r>
      <w:r>
        <w:rPr>
          <w:noProof/>
        </w:rPr>
        <w:fldChar w:fldCharType="separate"/>
      </w:r>
      <w:r w:rsidR="009B28AC">
        <w:rPr>
          <w:noProof/>
        </w:rPr>
        <w:t>20</w:t>
      </w:r>
      <w:r>
        <w:rPr>
          <w:noProof/>
        </w:rPr>
        <w:fldChar w:fldCharType="end"/>
      </w:r>
    </w:p>
    <w:p w14:paraId="064BCC1E" w14:textId="3E18A03E" w:rsidR="003E7A5F" w:rsidRDefault="003E7A5F">
      <w:pPr>
        <w:pStyle w:val="Verzeichnis3"/>
        <w:tabs>
          <w:tab w:val="left" w:pos="1475"/>
        </w:tabs>
        <w:rPr>
          <w:rFonts w:asciiTheme="minorHAnsi" w:eastAsiaTheme="minorEastAsia" w:hAnsiTheme="minorHAnsi"/>
          <w:noProof/>
          <w:sz w:val="22"/>
          <w:lang/>
        </w:rPr>
      </w:pPr>
      <w:r w:rsidRPr="00456084">
        <w:rPr>
          <w:rFonts w:ascii="Times New Roman" w:hAnsi="Times New Roman" w:cs="Times New Roman"/>
          <w:noProof/>
        </w:rPr>
        <w:t>c)</w:t>
      </w:r>
      <w:r>
        <w:rPr>
          <w:rFonts w:asciiTheme="minorHAnsi" w:eastAsiaTheme="minorEastAsia" w:hAnsiTheme="minorHAnsi"/>
          <w:noProof/>
          <w:sz w:val="22"/>
          <w:lang/>
        </w:rPr>
        <w:tab/>
      </w:r>
      <w:r w:rsidRPr="00456084">
        <w:rPr>
          <w:rFonts w:ascii="Times New Roman" w:hAnsi="Times New Roman" w:cs="Times New Roman"/>
          <w:noProof/>
        </w:rPr>
        <w:t>Sammelwerke</w:t>
      </w:r>
      <w:r>
        <w:rPr>
          <w:noProof/>
        </w:rPr>
        <w:tab/>
      </w:r>
      <w:r>
        <w:rPr>
          <w:noProof/>
        </w:rPr>
        <w:fldChar w:fldCharType="begin"/>
      </w:r>
      <w:r>
        <w:rPr>
          <w:noProof/>
        </w:rPr>
        <w:instrText xml:space="preserve"> PAGEREF _Toc97043972 \h </w:instrText>
      </w:r>
      <w:r>
        <w:rPr>
          <w:noProof/>
        </w:rPr>
      </w:r>
      <w:r>
        <w:rPr>
          <w:noProof/>
        </w:rPr>
        <w:fldChar w:fldCharType="separate"/>
      </w:r>
      <w:r w:rsidR="009B28AC">
        <w:rPr>
          <w:noProof/>
        </w:rPr>
        <w:t>21</w:t>
      </w:r>
      <w:r>
        <w:rPr>
          <w:noProof/>
        </w:rPr>
        <w:fldChar w:fldCharType="end"/>
      </w:r>
    </w:p>
    <w:p w14:paraId="24E25E90" w14:textId="0B56A0F6" w:rsidR="003E7A5F" w:rsidRDefault="003E7A5F">
      <w:pPr>
        <w:pStyle w:val="Verzeichnis3"/>
        <w:tabs>
          <w:tab w:val="left" w:pos="1475"/>
        </w:tabs>
        <w:rPr>
          <w:rFonts w:asciiTheme="minorHAnsi" w:eastAsiaTheme="minorEastAsia" w:hAnsiTheme="minorHAnsi"/>
          <w:noProof/>
          <w:sz w:val="22"/>
          <w:lang/>
        </w:rPr>
      </w:pPr>
      <w:r w:rsidRPr="00456084">
        <w:rPr>
          <w:rFonts w:ascii="Times New Roman" w:hAnsi="Times New Roman" w:cs="Times New Roman"/>
          <w:noProof/>
        </w:rPr>
        <w:t>d)</w:t>
      </w:r>
      <w:r>
        <w:rPr>
          <w:rFonts w:asciiTheme="minorHAnsi" w:eastAsiaTheme="minorEastAsia" w:hAnsiTheme="minorHAnsi"/>
          <w:noProof/>
          <w:sz w:val="22"/>
          <w:lang/>
        </w:rPr>
        <w:tab/>
      </w:r>
      <w:r w:rsidRPr="00456084">
        <w:rPr>
          <w:rFonts w:ascii="Times New Roman" w:hAnsi="Times New Roman" w:cs="Times New Roman"/>
          <w:noProof/>
        </w:rPr>
        <w:t>Kommentare</w:t>
      </w:r>
      <w:r>
        <w:rPr>
          <w:noProof/>
        </w:rPr>
        <w:tab/>
      </w:r>
      <w:r>
        <w:rPr>
          <w:noProof/>
        </w:rPr>
        <w:fldChar w:fldCharType="begin"/>
      </w:r>
      <w:r>
        <w:rPr>
          <w:noProof/>
        </w:rPr>
        <w:instrText xml:space="preserve"> PAGEREF _Toc97043973 \h </w:instrText>
      </w:r>
      <w:r>
        <w:rPr>
          <w:noProof/>
        </w:rPr>
      </w:r>
      <w:r>
        <w:rPr>
          <w:noProof/>
        </w:rPr>
        <w:fldChar w:fldCharType="separate"/>
      </w:r>
      <w:r w:rsidR="009B28AC">
        <w:rPr>
          <w:noProof/>
        </w:rPr>
        <w:t>21</w:t>
      </w:r>
      <w:r>
        <w:rPr>
          <w:noProof/>
        </w:rPr>
        <w:fldChar w:fldCharType="end"/>
      </w:r>
    </w:p>
    <w:p w14:paraId="1B526E9D" w14:textId="13CBD378" w:rsidR="003E7A5F" w:rsidRDefault="003E7A5F">
      <w:pPr>
        <w:pStyle w:val="Verzeichnis3"/>
        <w:tabs>
          <w:tab w:val="left" w:pos="1475"/>
        </w:tabs>
        <w:rPr>
          <w:rFonts w:asciiTheme="minorHAnsi" w:eastAsiaTheme="minorEastAsia" w:hAnsiTheme="minorHAnsi"/>
          <w:noProof/>
          <w:sz w:val="22"/>
          <w:lang/>
        </w:rPr>
      </w:pPr>
      <w:r w:rsidRPr="00456084">
        <w:rPr>
          <w:rFonts w:ascii="Times New Roman" w:hAnsi="Times New Roman" w:cs="Times New Roman"/>
          <w:noProof/>
        </w:rPr>
        <w:t>e)</w:t>
      </w:r>
      <w:r>
        <w:rPr>
          <w:rFonts w:asciiTheme="minorHAnsi" w:eastAsiaTheme="minorEastAsia" w:hAnsiTheme="minorHAnsi"/>
          <w:noProof/>
          <w:sz w:val="22"/>
          <w:lang/>
        </w:rPr>
        <w:tab/>
      </w:r>
      <w:r w:rsidRPr="00456084">
        <w:rPr>
          <w:rFonts w:ascii="Times New Roman" w:hAnsi="Times New Roman" w:cs="Times New Roman"/>
          <w:noProof/>
        </w:rPr>
        <w:t>Internetdokumente</w:t>
      </w:r>
      <w:r>
        <w:rPr>
          <w:noProof/>
        </w:rPr>
        <w:tab/>
      </w:r>
      <w:r>
        <w:rPr>
          <w:noProof/>
        </w:rPr>
        <w:fldChar w:fldCharType="begin"/>
      </w:r>
      <w:r>
        <w:rPr>
          <w:noProof/>
        </w:rPr>
        <w:instrText xml:space="preserve"> PAGEREF _Toc97043974 \h </w:instrText>
      </w:r>
      <w:r>
        <w:rPr>
          <w:noProof/>
        </w:rPr>
      </w:r>
      <w:r>
        <w:rPr>
          <w:noProof/>
        </w:rPr>
        <w:fldChar w:fldCharType="separate"/>
      </w:r>
      <w:r w:rsidR="009B28AC">
        <w:rPr>
          <w:noProof/>
        </w:rPr>
        <w:t>22</w:t>
      </w:r>
      <w:r>
        <w:rPr>
          <w:noProof/>
        </w:rPr>
        <w:fldChar w:fldCharType="end"/>
      </w:r>
    </w:p>
    <w:p w14:paraId="446A4EA2" w14:textId="78A523B0" w:rsidR="003E7A5F" w:rsidRDefault="003E7A5F">
      <w:pPr>
        <w:pStyle w:val="Verzeichnis3"/>
        <w:tabs>
          <w:tab w:val="left" w:pos="1475"/>
        </w:tabs>
        <w:rPr>
          <w:rFonts w:asciiTheme="minorHAnsi" w:eastAsiaTheme="minorEastAsia" w:hAnsiTheme="minorHAnsi"/>
          <w:noProof/>
          <w:sz w:val="22"/>
          <w:lang/>
        </w:rPr>
      </w:pPr>
      <w:r>
        <w:rPr>
          <w:noProof/>
        </w:rPr>
        <w:t>d)</w:t>
      </w:r>
      <w:r>
        <w:rPr>
          <w:rFonts w:asciiTheme="minorHAnsi" w:eastAsiaTheme="minorEastAsia" w:hAnsiTheme="minorHAnsi"/>
          <w:noProof/>
          <w:sz w:val="22"/>
          <w:lang/>
        </w:rPr>
        <w:tab/>
      </w:r>
      <w:r>
        <w:rPr>
          <w:noProof/>
        </w:rPr>
        <w:t>Sonderfall: Organisationen und Gremien</w:t>
      </w:r>
      <w:r>
        <w:rPr>
          <w:noProof/>
        </w:rPr>
        <w:tab/>
      </w:r>
      <w:r>
        <w:rPr>
          <w:noProof/>
        </w:rPr>
        <w:fldChar w:fldCharType="begin"/>
      </w:r>
      <w:r>
        <w:rPr>
          <w:noProof/>
        </w:rPr>
        <w:instrText xml:space="preserve"> PAGEREF _Toc97043975 \h </w:instrText>
      </w:r>
      <w:r>
        <w:rPr>
          <w:noProof/>
        </w:rPr>
      </w:r>
      <w:r>
        <w:rPr>
          <w:noProof/>
        </w:rPr>
        <w:fldChar w:fldCharType="separate"/>
      </w:r>
      <w:r w:rsidR="009B28AC">
        <w:rPr>
          <w:noProof/>
        </w:rPr>
        <w:t>23</w:t>
      </w:r>
      <w:r>
        <w:rPr>
          <w:noProof/>
        </w:rPr>
        <w:fldChar w:fldCharType="end"/>
      </w:r>
    </w:p>
    <w:p w14:paraId="3D576F46" w14:textId="1008E9E2" w:rsidR="003E7A5F" w:rsidRDefault="003E7A5F">
      <w:pPr>
        <w:pStyle w:val="Verzeichnis1"/>
        <w:rPr>
          <w:rFonts w:asciiTheme="minorHAnsi" w:eastAsiaTheme="minorEastAsia" w:hAnsiTheme="minorHAnsi"/>
          <w:noProof/>
          <w:sz w:val="22"/>
          <w:lang/>
        </w:rPr>
      </w:pPr>
      <w:r w:rsidRPr="00456084">
        <w:rPr>
          <w:rFonts w:ascii="Times New Roman" w:hAnsi="Times New Roman" w:cs="Times New Roman"/>
          <w:noProof/>
        </w:rPr>
        <w:t>V.</w:t>
      </w:r>
      <w:r>
        <w:rPr>
          <w:rFonts w:asciiTheme="minorHAnsi" w:eastAsiaTheme="minorEastAsia" w:hAnsiTheme="minorHAnsi"/>
          <w:noProof/>
          <w:sz w:val="22"/>
          <w:lang/>
        </w:rPr>
        <w:tab/>
      </w:r>
      <w:r w:rsidRPr="00456084">
        <w:rPr>
          <w:rFonts w:ascii="Times New Roman" w:hAnsi="Times New Roman" w:cs="Times New Roman"/>
          <w:noProof/>
        </w:rPr>
        <w:t>Aufbau des Materialienverzeichnisses</w:t>
      </w:r>
      <w:r>
        <w:rPr>
          <w:noProof/>
        </w:rPr>
        <w:tab/>
      </w:r>
      <w:r>
        <w:rPr>
          <w:noProof/>
        </w:rPr>
        <w:fldChar w:fldCharType="begin"/>
      </w:r>
      <w:r>
        <w:rPr>
          <w:noProof/>
        </w:rPr>
        <w:instrText xml:space="preserve"> PAGEREF _Toc97043976 \h </w:instrText>
      </w:r>
      <w:r>
        <w:rPr>
          <w:noProof/>
        </w:rPr>
      </w:r>
      <w:r>
        <w:rPr>
          <w:noProof/>
        </w:rPr>
        <w:fldChar w:fldCharType="separate"/>
      </w:r>
      <w:r w:rsidR="009B28AC">
        <w:rPr>
          <w:noProof/>
        </w:rPr>
        <w:t>23</w:t>
      </w:r>
      <w:r>
        <w:rPr>
          <w:noProof/>
        </w:rPr>
        <w:fldChar w:fldCharType="end"/>
      </w:r>
    </w:p>
    <w:p w14:paraId="5E54A2C6" w14:textId="6777D359" w:rsidR="003E7A5F" w:rsidRDefault="003E7A5F">
      <w:pPr>
        <w:pStyle w:val="Verzeichnis2"/>
        <w:tabs>
          <w:tab w:val="left" w:pos="1021"/>
        </w:tabs>
        <w:rPr>
          <w:rFonts w:asciiTheme="minorHAnsi" w:eastAsiaTheme="minorEastAsia" w:hAnsiTheme="minorHAnsi"/>
          <w:sz w:val="22"/>
          <w:lang/>
        </w:rPr>
      </w:pPr>
      <w:r w:rsidRPr="00456084">
        <w:rPr>
          <w:rFonts w:ascii="Times New Roman" w:hAnsi="Times New Roman" w:cs="Times New Roman"/>
        </w:rPr>
        <w:t>1.</w:t>
      </w:r>
      <w:r>
        <w:rPr>
          <w:rFonts w:asciiTheme="minorHAnsi" w:eastAsiaTheme="minorEastAsia" w:hAnsiTheme="minorHAnsi"/>
          <w:sz w:val="22"/>
          <w:lang/>
        </w:rPr>
        <w:tab/>
      </w:r>
      <w:r w:rsidRPr="00456084">
        <w:rPr>
          <w:rFonts w:ascii="Times New Roman" w:hAnsi="Times New Roman" w:cs="Times New Roman"/>
        </w:rPr>
        <w:t>Form</w:t>
      </w:r>
      <w:r>
        <w:tab/>
      </w:r>
      <w:r>
        <w:fldChar w:fldCharType="begin"/>
      </w:r>
      <w:r>
        <w:instrText xml:space="preserve"> PAGEREF _Toc97043977 \h </w:instrText>
      </w:r>
      <w:r>
        <w:fldChar w:fldCharType="separate"/>
      </w:r>
      <w:r w:rsidR="009B28AC">
        <w:t>23</w:t>
      </w:r>
      <w:r>
        <w:fldChar w:fldCharType="end"/>
      </w:r>
    </w:p>
    <w:p w14:paraId="6FF577AB" w14:textId="7B135C4E" w:rsidR="003E7A5F" w:rsidRDefault="003E7A5F">
      <w:pPr>
        <w:pStyle w:val="Verzeichnis2"/>
        <w:tabs>
          <w:tab w:val="left" w:pos="1021"/>
        </w:tabs>
        <w:rPr>
          <w:rFonts w:asciiTheme="minorHAnsi" w:eastAsiaTheme="minorEastAsia" w:hAnsiTheme="minorHAnsi"/>
          <w:sz w:val="22"/>
          <w:lang/>
        </w:rPr>
      </w:pPr>
      <w:r w:rsidRPr="00456084">
        <w:rPr>
          <w:rFonts w:ascii="Times New Roman" w:hAnsi="Times New Roman" w:cs="Times New Roman"/>
        </w:rPr>
        <w:t>2.</w:t>
      </w:r>
      <w:r>
        <w:rPr>
          <w:rFonts w:asciiTheme="minorHAnsi" w:eastAsiaTheme="minorEastAsia" w:hAnsiTheme="minorHAnsi"/>
          <w:sz w:val="22"/>
          <w:lang/>
        </w:rPr>
        <w:tab/>
      </w:r>
      <w:r w:rsidRPr="00456084">
        <w:rPr>
          <w:rFonts w:ascii="Times New Roman" w:hAnsi="Times New Roman" w:cs="Times New Roman"/>
        </w:rPr>
        <w:t>Inhalt</w:t>
      </w:r>
      <w:r>
        <w:tab/>
      </w:r>
      <w:r>
        <w:fldChar w:fldCharType="begin"/>
      </w:r>
      <w:r>
        <w:instrText xml:space="preserve"> PAGEREF _Toc97043978 \h </w:instrText>
      </w:r>
      <w:r>
        <w:fldChar w:fldCharType="separate"/>
      </w:r>
      <w:r w:rsidR="009B28AC">
        <w:t>24</w:t>
      </w:r>
      <w:r>
        <w:fldChar w:fldCharType="end"/>
      </w:r>
    </w:p>
    <w:p w14:paraId="36FCD0FC" w14:textId="2B564E8A" w:rsidR="003E7A5F" w:rsidRDefault="003E7A5F">
      <w:pPr>
        <w:pStyle w:val="Verzeichnis2"/>
        <w:tabs>
          <w:tab w:val="left" w:pos="1021"/>
        </w:tabs>
        <w:rPr>
          <w:rFonts w:asciiTheme="minorHAnsi" w:eastAsiaTheme="minorEastAsia" w:hAnsiTheme="minorHAnsi"/>
          <w:sz w:val="22"/>
          <w:lang/>
        </w:rPr>
      </w:pPr>
      <w:r w:rsidRPr="00456084">
        <w:rPr>
          <w:rFonts w:ascii="Times New Roman" w:hAnsi="Times New Roman" w:cs="Times New Roman"/>
        </w:rPr>
        <w:t>3.</w:t>
      </w:r>
      <w:r>
        <w:rPr>
          <w:rFonts w:asciiTheme="minorHAnsi" w:eastAsiaTheme="minorEastAsia" w:hAnsiTheme="minorHAnsi"/>
          <w:sz w:val="22"/>
          <w:lang/>
        </w:rPr>
        <w:tab/>
      </w:r>
      <w:r w:rsidRPr="00456084">
        <w:rPr>
          <w:rFonts w:ascii="Times New Roman" w:hAnsi="Times New Roman" w:cs="Times New Roman"/>
        </w:rPr>
        <w:t>Einzelfälle</w:t>
      </w:r>
      <w:r>
        <w:tab/>
      </w:r>
      <w:r>
        <w:fldChar w:fldCharType="begin"/>
      </w:r>
      <w:r>
        <w:instrText xml:space="preserve"> PAGEREF _Toc97043979 \h </w:instrText>
      </w:r>
      <w:r>
        <w:fldChar w:fldCharType="separate"/>
      </w:r>
      <w:r w:rsidR="009B28AC">
        <w:t>24</w:t>
      </w:r>
      <w:r>
        <w:fldChar w:fldCharType="end"/>
      </w:r>
    </w:p>
    <w:p w14:paraId="1BEA22C0" w14:textId="60870DD8" w:rsidR="003E7A5F" w:rsidRDefault="003E7A5F">
      <w:pPr>
        <w:pStyle w:val="Verzeichnis1"/>
        <w:rPr>
          <w:rFonts w:asciiTheme="minorHAnsi" w:eastAsiaTheme="minorEastAsia" w:hAnsiTheme="minorHAnsi"/>
          <w:noProof/>
          <w:sz w:val="22"/>
          <w:lang/>
        </w:rPr>
      </w:pPr>
      <w:r w:rsidRPr="00456084">
        <w:rPr>
          <w:rFonts w:ascii="Times New Roman" w:hAnsi="Times New Roman" w:cs="Times New Roman"/>
          <w:noProof/>
        </w:rPr>
        <w:t>VI.</w:t>
      </w:r>
      <w:r>
        <w:rPr>
          <w:rFonts w:asciiTheme="minorHAnsi" w:eastAsiaTheme="minorEastAsia" w:hAnsiTheme="minorHAnsi"/>
          <w:noProof/>
          <w:sz w:val="22"/>
          <w:lang/>
        </w:rPr>
        <w:tab/>
      </w:r>
      <w:r w:rsidRPr="00456084">
        <w:rPr>
          <w:rFonts w:ascii="Times New Roman" w:hAnsi="Times New Roman" w:cs="Times New Roman"/>
          <w:noProof/>
        </w:rPr>
        <w:t>Fussnoten</w:t>
      </w:r>
      <w:r>
        <w:rPr>
          <w:noProof/>
        </w:rPr>
        <w:tab/>
      </w:r>
      <w:r>
        <w:rPr>
          <w:noProof/>
        </w:rPr>
        <w:fldChar w:fldCharType="begin"/>
      </w:r>
      <w:r>
        <w:rPr>
          <w:noProof/>
        </w:rPr>
        <w:instrText xml:space="preserve"> PAGEREF _Toc97043980 \h </w:instrText>
      </w:r>
      <w:r>
        <w:rPr>
          <w:noProof/>
        </w:rPr>
      </w:r>
      <w:r>
        <w:rPr>
          <w:noProof/>
        </w:rPr>
        <w:fldChar w:fldCharType="separate"/>
      </w:r>
      <w:r w:rsidR="009B28AC">
        <w:rPr>
          <w:noProof/>
        </w:rPr>
        <w:t>26</w:t>
      </w:r>
      <w:r>
        <w:rPr>
          <w:noProof/>
        </w:rPr>
        <w:fldChar w:fldCharType="end"/>
      </w:r>
    </w:p>
    <w:p w14:paraId="0043D301" w14:textId="63DF8534" w:rsidR="003E7A5F" w:rsidRDefault="003E7A5F">
      <w:pPr>
        <w:pStyle w:val="Verzeichnis2"/>
        <w:tabs>
          <w:tab w:val="left" w:pos="1021"/>
        </w:tabs>
        <w:rPr>
          <w:rFonts w:asciiTheme="minorHAnsi" w:eastAsiaTheme="minorEastAsia" w:hAnsiTheme="minorHAnsi"/>
          <w:sz w:val="22"/>
          <w:lang/>
        </w:rPr>
      </w:pPr>
      <w:r w:rsidRPr="00456084">
        <w:rPr>
          <w:rFonts w:ascii="Times New Roman" w:hAnsi="Times New Roman" w:cs="Times New Roman"/>
        </w:rPr>
        <w:t>1.</w:t>
      </w:r>
      <w:r>
        <w:rPr>
          <w:rFonts w:asciiTheme="minorHAnsi" w:eastAsiaTheme="minorEastAsia" w:hAnsiTheme="minorHAnsi"/>
          <w:sz w:val="22"/>
          <w:lang/>
        </w:rPr>
        <w:tab/>
      </w:r>
      <w:r w:rsidRPr="00456084">
        <w:rPr>
          <w:rFonts w:ascii="Times New Roman" w:hAnsi="Times New Roman" w:cs="Times New Roman"/>
        </w:rPr>
        <w:t>Grundregeln</w:t>
      </w:r>
      <w:r>
        <w:tab/>
      </w:r>
      <w:r>
        <w:fldChar w:fldCharType="begin"/>
      </w:r>
      <w:r>
        <w:instrText xml:space="preserve"> PAGEREF _Toc97043981 \h </w:instrText>
      </w:r>
      <w:r>
        <w:fldChar w:fldCharType="separate"/>
      </w:r>
      <w:r w:rsidR="009B28AC">
        <w:t>26</w:t>
      </w:r>
      <w:r>
        <w:fldChar w:fldCharType="end"/>
      </w:r>
    </w:p>
    <w:p w14:paraId="45028A21" w14:textId="2FE9D37D" w:rsidR="003E7A5F" w:rsidRDefault="003E7A5F">
      <w:pPr>
        <w:pStyle w:val="Verzeichnis2"/>
        <w:tabs>
          <w:tab w:val="left" w:pos="1021"/>
        </w:tabs>
        <w:rPr>
          <w:rFonts w:asciiTheme="minorHAnsi" w:eastAsiaTheme="minorEastAsia" w:hAnsiTheme="minorHAnsi"/>
          <w:sz w:val="22"/>
          <w:lang/>
        </w:rPr>
      </w:pPr>
      <w:r w:rsidRPr="00456084">
        <w:rPr>
          <w:rFonts w:ascii="Times New Roman" w:hAnsi="Times New Roman" w:cs="Times New Roman"/>
        </w:rPr>
        <w:t>2.</w:t>
      </w:r>
      <w:r>
        <w:rPr>
          <w:rFonts w:asciiTheme="minorHAnsi" w:eastAsiaTheme="minorEastAsia" w:hAnsiTheme="minorHAnsi"/>
          <w:sz w:val="22"/>
          <w:lang/>
        </w:rPr>
        <w:tab/>
      </w:r>
      <w:r w:rsidRPr="00456084">
        <w:rPr>
          <w:rFonts w:ascii="Times New Roman" w:hAnsi="Times New Roman" w:cs="Times New Roman"/>
        </w:rPr>
        <w:t>Mittlere Zitierweise (Kurztitel)</w:t>
      </w:r>
      <w:r>
        <w:tab/>
      </w:r>
      <w:r>
        <w:fldChar w:fldCharType="begin"/>
      </w:r>
      <w:r>
        <w:instrText xml:space="preserve"> PAGEREF _Toc97043982 \h </w:instrText>
      </w:r>
      <w:r>
        <w:fldChar w:fldCharType="separate"/>
      </w:r>
      <w:r w:rsidR="009B28AC">
        <w:t>28</w:t>
      </w:r>
      <w:r>
        <w:fldChar w:fldCharType="end"/>
      </w:r>
    </w:p>
    <w:p w14:paraId="0D79F9BF" w14:textId="52F40A72" w:rsidR="003E7A5F" w:rsidRDefault="003E7A5F">
      <w:pPr>
        <w:pStyle w:val="Verzeichnis1"/>
        <w:rPr>
          <w:rFonts w:asciiTheme="minorHAnsi" w:eastAsiaTheme="minorEastAsia" w:hAnsiTheme="minorHAnsi"/>
          <w:noProof/>
          <w:sz w:val="22"/>
          <w:lang/>
        </w:rPr>
      </w:pPr>
      <w:r w:rsidRPr="00456084">
        <w:rPr>
          <w:rFonts w:ascii="Times New Roman" w:hAnsi="Times New Roman" w:cs="Times New Roman"/>
          <w:noProof/>
        </w:rPr>
        <w:t>VII.</w:t>
      </w:r>
      <w:r>
        <w:rPr>
          <w:rFonts w:asciiTheme="minorHAnsi" w:eastAsiaTheme="minorEastAsia" w:hAnsiTheme="minorHAnsi"/>
          <w:noProof/>
          <w:sz w:val="22"/>
          <w:lang/>
        </w:rPr>
        <w:tab/>
      </w:r>
      <w:r w:rsidRPr="00456084">
        <w:rPr>
          <w:rFonts w:ascii="Times New Roman" w:hAnsi="Times New Roman" w:cs="Times New Roman"/>
          <w:noProof/>
        </w:rPr>
        <w:t>Rechtsprechungszitate</w:t>
      </w:r>
      <w:r>
        <w:rPr>
          <w:noProof/>
        </w:rPr>
        <w:tab/>
      </w:r>
      <w:r>
        <w:rPr>
          <w:noProof/>
        </w:rPr>
        <w:fldChar w:fldCharType="begin"/>
      </w:r>
      <w:r>
        <w:rPr>
          <w:noProof/>
        </w:rPr>
        <w:instrText xml:space="preserve"> PAGEREF _Toc97043983 \h </w:instrText>
      </w:r>
      <w:r>
        <w:rPr>
          <w:noProof/>
        </w:rPr>
      </w:r>
      <w:r>
        <w:rPr>
          <w:noProof/>
        </w:rPr>
        <w:fldChar w:fldCharType="separate"/>
      </w:r>
      <w:r w:rsidR="009B28AC">
        <w:rPr>
          <w:noProof/>
        </w:rPr>
        <w:t>31</w:t>
      </w:r>
      <w:r>
        <w:rPr>
          <w:noProof/>
        </w:rPr>
        <w:fldChar w:fldCharType="end"/>
      </w:r>
    </w:p>
    <w:p w14:paraId="1B6EC983" w14:textId="2B14C947" w:rsidR="003E7A5F" w:rsidRDefault="003E7A5F">
      <w:pPr>
        <w:pStyle w:val="Verzeichnis2"/>
        <w:tabs>
          <w:tab w:val="left" w:pos="1021"/>
        </w:tabs>
        <w:rPr>
          <w:rFonts w:asciiTheme="minorHAnsi" w:eastAsiaTheme="minorEastAsia" w:hAnsiTheme="minorHAnsi"/>
          <w:sz w:val="22"/>
          <w:lang/>
        </w:rPr>
      </w:pPr>
      <w:r w:rsidRPr="00456084">
        <w:rPr>
          <w:rFonts w:ascii="Times New Roman" w:hAnsi="Times New Roman" w:cs="Times New Roman"/>
        </w:rPr>
        <w:t>1.</w:t>
      </w:r>
      <w:r>
        <w:rPr>
          <w:rFonts w:asciiTheme="minorHAnsi" w:eastAsiaTheme="minorEastAsia" w:hAnsiTheme="minorHAnsi"/>
          <w:sz w:val="22"/>
          <w:lang/>
        </w:rPr>
        <w:tab/>
      </w:r>
      <w:r w:rsidRPr="00456084">
        <w:rPr>
          <w:rFonts w:ascii="Times New Roman" w:hAnsi="Times New Roman" w:cs="Times New Roman"/>
        </w:rPr>
        <w:t>Schweizer Gerichte</w:t>
      </w:r>
      <w:r>
        <w:tab/>
      </w:r>
      <w:r>
        <w:fldChar w:fldCharType="begin"/>
      </w:r>
      <w:r>
        <w:instrText xml:space="preserve"> PAGEREF _Toc97043984 \h </w:instrText>
      </w:r>
      <w:r>
        <w:fldChar w:fldCharType="separate"/>
      </w:r>
      <w:r w:rsidR="009B28AC">
        <w:t>31</w:t>
      </w:r>
      <w:r>
        <w:fldChar w:fldCharType="end"/>
      </w:r>
    </w:p>
    <w:p w14:paraId="0435781E" w14:textId="0D57C78D" w:rsidR="003E7A5F" w:rsidRDefault="003E7A5F">
      <w:pPr>
        <w:pStyle w:val="Verzeichnis3"/>
        <w:tabs>
          <w:tab w:val="left" w:pos="1475"/>
        </w:tabs>
        <w:rPr>
          <w:rFonts w:asciiTheme="minorHAnsi" w:eastAsiaTheme="minorEastAsia" w:hAnsiTheme="minorHAnsi"/>
          <w:noProof/>
          <w:sz w:val="22"/>
          <w:lang/>
        </w:rPr>
      </w:pPr>
      <w:r w:rsidRPr="00456084">
        <w:rPr>
          <w:rFonts w:ascii="Times New Roman" w:hAnsi="Times New Roman" w:cs="Times New Roman"/>
          <w:noProof/>
        </w:rPr>
        <w:lastRenderedPageBreak/>
        <w:t>a)</w:t>
      </w:r>
      <w:r>
        <w:rPr>
          <w:rFonts w:asciiTheme="minorHAnsi" w:eastAsiaTheme="minorEastAsia" w:hAnsiTheme="minorHAnsi"/>
          <w:noProof/>
          <w:sz w:val="22"/>
          <w:lang/>
        </w:rPr>
        <w:tab/>
      </w:r>
      <w:r w:rsidRPr="00456084">
        <w:rPr>
          <w:rFonts w:ascii="Times New Roman" w:hAnsi="Times New Roman" w:cs="Times New Roman"/>
          <w:noProof/>
        </w:rPr>
        <w:t>Amtliche Sammlungen</w:t>
      </w:r>
      <w:r>
        <w:rPr>
          <w:noProof/>
        </w:rPr>
        <w:tab/>
      </w:r>
      <w:r>
        <w:rPr>
          <w:noProof/>
        </w:rPr>
        <w:fldChar w:fldCharType="begin"/>
      </w:r>
      <w:r>
        <w:rPr>
          <w:noProof/>
        </w:rPr>
        <w:instrText xml:space="preserve"> PAGEREF _Toc97043985 \h </w:instrText>
      </w:r>
      <w:r>
        <w:rPr>
          <w:noProof/>
        </w:rPr>
      </w:r>
      <w:r>
        <w:rPr>
          <w:noProof/>
        </w:rPr>
        <w:fldChar w:fldCharType="separate"/>
      </w:r>
      <w:r w:rsidR="009B28AC">
        <w:rPr>
          <w:noProof/>
        </w:rPr>
        <w:t>31</w:t>
      </w:r>
      <w:r>
        <w:rPr>
          <w:noProof/>
        </w:rPr>
        <w:fldChar w:fldCharType="end"/>
      </w:r>
    </w:p>
    <w:p w14:paraId="124DBBFE" w14:textId="3CEDE5A1" w:rsidR="003E7A5F" w:rsidRDefault="003E7A5F">
      <w:pPr>
        <w:pStyle w:val="Verzeichnis3"/>
        <w:tabs>
          <w:tab w:val="left" w:pos="1475"/>
        </w:tabs>
        <w:rPr>
          <w:rFonts w:asciiTheme="minorHAnsi" w:eastAsiaTheme="minorEastAsia" w:hAnsiTheme="minorHAnsi"/>
          <w:noProof/>
          <w:sz w:val="22"/>
          <w:lang/>
        </w:rPr>
      </w:pPr>
      <w:r w:rsidRPr="00456084">
        <w:rPr>
          <w:rFonts w:ascii="Times New Roman" w:hAnsi="Times New Roman" w:cs="Times New Roman"/>
          <w:noProof/>
        </w:rPr>
        <w:t>b)</w:t>
      </w:r>
      <w:r>
        <w:rPr>
          <w:rFonts w:asciiTheme="minorHAnsi" w:eastAsiaTheme="minorEastAsia" w:hAnsiTheme="minorHAnsi"/>
          <w:noProof/>
          <w:sz w:val="22"/>
          <w:lang/>
        </w:rPr>
        <w:tab/>
      </w:r>
      <w:r w:rsidRPr="00456084">
        <w:rPr>
          <w:rFonts w:ascii="Times New Roman" w:hAnsi="Times New Roman" w:cs="Times New Roman"/>
          <w:noProof/>
        </w:rPr>
        <w:t>Zeitschriften</w:t>
      </w:r>
      <w:r>
        <w:rPr>
          <w:noProof/>
        </w:rPr>
        <w:tab/>
      </w:r>
      <w:r>
        <w:rPr>
          <w:noProof/>
        </w:rPr>
        <w:fldChar w:fldCharType="begin"/>
      </w:r>
      <w:r>
        <w:rPr>
          <w:noProof/>
        </w:rPr>
        <w:instrText xml:space="preserve"> PAGEREF _Toc97043986 \h </w:instrText>
      </w:r>
      <w:r>
        <w:rPr>
          <w:noProof/>
        </w:rPr>
      </w:r>
      <w:r>
        <w:rPr>
          <w:noProof/>
        </w:rPr>
        <w:fldChar w:fldCharType="separate"/>
      </w:r>
      <w:r w:rsidR="009B28AC">
        <w:rPr>
          <w:noProof/>
        </w:rPr>
        <w:t>31</w:t>
      </w:r>
      <w:r>
        <w:rPr>
          <w:noProof/>
        </w:rPr>
        <w:fldChar w:fldCharType="end"/>
      </w:r>
    </w:p>
    <w:p w14:paraId="4B31AF61" w14:textId="4A107515" w:rsidR="003E7A5F" w:rsidRDefault="003E7A5F">
      <w:pPr>
        <w:pStyle w:val="Verzeichnis3"/>
        <w:tabs>
          <w:tab w:val="left" w:pos="1475"/>
        </w:tabs>
        <w:rPr>
          <w:rFonts w:asciiTheme="minorHAnsi" w:eastAsiaTheme="minorEastAsia" w:hAnsiTheme="minorHAnsi"/>
          <w:noProof/>
          <w:sz w:val="22"/>
          <w:lang/>
        </w:rPr>
      </w:pPr>
      <w:r w:rsidRPr="00456084">
        <w:rPr>
          <w:rFonts w:ascii="Times New Roman" w:hAnsi="Times New Roman" w:cs="Times New Roman"/>
          <w:noProof/>
        </w:rPr>
        <w:t>c)</w:t>
      </w:r>
      <w:r>
        <w:rPr>
          <w:rFonts w:asciiTheme="minorHAnsi" w:eastAsiaTheme="minorEastAsia" w:hAnsiTheme="minorHAnsi"/>
          <w:noProof/>
          <w:sz w:val="22"/>
          <w:lang/>
        </w:rPr>
        <w:tab/>
      </w:r>
      <w:r w:rsidRPr="00456084">
        <w:rPr>
          <w:rFonts w:ascii="Times New Roman" w:hAnsi="Times New Roman" w:cs="Times New Roman"/>
          <w:noProof/>
        </w:rPr>
        <w:t>Internet</w:t>
      </w:r>
      <w:r>
        <w:rPr>
          <w:noProof/>
        </w:rPr>
        <w:tab/>
      </w:r>
      <w:r>
        <w:rPr>
          <w:noProof/>
        </w:rPr>
        <w:fldChar w:fldCharType="begin"/>
      </w:r>
      <w:r>
        <w:rPr>
          <w:noProof/>
        </w:rPr>
        <w:instrText xml:space="preserve"> PAGEREF _Toc97043987 \h </w:instrText>
      </w:r>
      <w:r>
        <w:rPr>
          <w:noProof/>
        </w:rPr>
      </w:r>
      <w:r>
        <w:rPr>
          <w:noProof/>
        </w:rPr>
        <w:fldChar w:fldCharType="separate"/>
      </w:r>
      <w:r w:rsidR="009B28AC">
        <w:rPr>
          <w:noProof/>
        </w:rPr>
        <w:t>32</w:t>
      </w:r>
      <w:r>
        <w:rPr>
          <w:noProof/>
        </w:rPr>
        <w:fldChar w:fldCharType="end"/>
      </w:r>
    </w:p>
    <w:p w14:paraId="4C21E73E" w14:textId="67CA90A0" w:rsidR="003E7A5F" w:rsidRDefault="003E7A5F">
      <w:pPr>
        <w:pStyle w:val="Verzeichnis2"/>
        <w:tabs>
          <w:tab w:val="left" w:pos="1021"/>
        </w:tabs>
        <w:rPr>
          <w:rFonts w:asciiTheme="minorHAnsi" w:eastAsiaTheme="minorEastAsia" w:hAnsiTheme="minorHAnsi"/>
          <w:sz w:val="22"/>
          <w:lang/>
        </w:rPr>
      </w:pPr>
      <w:r w:rsidRPr="00456084">
        <w:rPr>
          <w:rFonts w:ascii="Times New Roman" w:hAnsi="Times New Roman" w:cs="Times New Roman"/>
        </w:rPr>
        <w:t>2.</w:t>
      </w:r>
      <w:r>
        <w:rPr>
          <w:rFonts w:asciiTheme="minorHAnsi" w:eastAsiaTheme="minorEastAsia" w:hAnsiTheme="minorHAnsi"/>
          <w:sz w:val="22"/>
          <w:lang/>
        </w:rPr>
        <w:tab/>
      </w:r>
      <w:r w:rsidRPr="00456084">
        <w:rPr>
          <w:rFonts w:ascii="Times New Roman" w:hAnsi="Times New Roman" w:cs="Times New Roman"/>
        </w:rPr>
        <w:t>Gerichte der Europäischen Union</w:t>
      </w:r>
      <w:r>
        <w:tab/>
      </w:r>
      <w:r>
        <w:fldChar w:fldCharType="begin"/>
      </w:r>
      <w:r>
        <w:instrText xml:space="preserve"> PAGEREF _Toc97043988 \h </w:instrText>
      </w:r>
      <w:r>
        <w:fldChar w:fldCharType="separate"/>
      </w:r>
      <w:r w:rsidR="009B28AC">
        <w:t>32</w:t>
      </w:r>
      <w:r>
        <w:fldChar w:fldCharType="end"/>
      </w:r>
    </w:p>
    <w:p w14:paraId="4BB1088B" w14:textId="6DBD58AB" w:rsidR="003E7A5F" w:rsidRDefault="003E7A5F">
      <w:pPr>
        <w:pStyle w:val="Verzeichnis2"/>
        <w:tabs>
          <w:tab w:val="left" w:pos="1021"/>
        </w:tabs>
        <w:rPr>
          <w:rFonts w:asciiTheme="minorHAnsi" w:eastAsiaTheme="minorEastAsia" w:hAnsiTheme="minorHAnsi"/>
          <w:sz w:val="22"/>
          <w:lang/>
        </w:rPr>
      </w:pPr>
      <w:r w:rsidRPr="00456084">
        <w:rPr>
          <w:rFonts w:ascii="Times New Roman" w:hAnsi="Times New Roman" w:cs="Times New Roman"/>
        </w:rPr>
        <w:t>3.</w:t>
      </w:r>
      <w:r>
        <w:rPr>
          <w:rFonts w:asciiTheme="minorHAnsi" w:eastAsiaTheme="minorEastAsia" w:hAnsiTheme="minorHAnsi"/>
          <w:sz w:val="22"/>
          <w:lang/>
        </w:rPr>
        <w:tab/>
      </w:r>
      <w:r w:rsidRPr="00456084">
        <w:rPr>
          <w:rFonts w:ascii="Times New Roman" w:hAnsi="Times New Roman" w:cs="Times New Roman"/>
        </w:rPr>
        <w:t>Deutsche Gerichte</w:t>
      </w:r>
      <w:r>
        <w:tab/>
      </w:r>
      <w:r>
        <w:fldChar w:fldCharType="begin"/>
      </w:r>
      <w:r>
        <w:instrText xml:space="preserve"> PAGEREF _Toc97043989 \h </w:instrText>
      </w:r>
      <w:r>
        <w:fldChar w:fldCharType="separate"/>
      </w:r>
      <w:r w:rsidR="009B28AC">
        <w:t>33</w:t>
      </w:r>
      <w:r>
        <w:fldChar w:fldCharType="end"/>
      </w:r>
    </w:p>
    <w:p w14:paraId="61A1A039" w14:textId="4FA0389B" w:rsidR="003E7A5F" w:rsidRDefault="003E7A5F">
      <w:pPr>
        <w:pStyle w:val="Verzeichnis1"/>
        <w:rPr>
          <w:rFonts w:asciiTheme="minorHAnsi" w:eastAsiaTheme="minorEastAsia" w:hAnsiTheme="minorHAnsi"/>
          <w:noProof/>
          <w:sz w:val="22"/>
          <w:lang/>
        </w:rPr>
      </w:pPr>
      <w:r w:rsidRPr="00456084">
        <w:rPr>
          <w:rFonts w:ascii="Times New Roman" w:hAnsi="Times New Roman" w:cs="Times New Roman"/>
          <w:noProof/>
        </w:rPr>
        <w:t>VIII.</w:t>
      </w:r>
      <w:r>
        <w:rPr>
          <w:rFonts w:asciiTheme="minorHAnsi" w:eastAsiaTheme="minorEastAsia" w:hAnsiTheme="minorHAnsi"/>
          <w:noProof/>
          <w:sz w:val="22"/>
          <w:lang/>
        </w:rPr>
        <w:tab/>
      </w:r>
      <w:r w:rsidRPr="00456084">
        <w:rPr>
          <w:rFonts w:ascii="Times New Roman" w:hAnsi="Times New Roman" w:cs="Times New Roman"/>
          <w:noProof/>
        </w:rPr>
        <w:t>Normzitate</w:t>
      </w:r>
      <w:r>
        <w:rPr>
          <w:noProof/>
        </w:rPr>
        <w:tab/>
      </w:r>
      <w:r>
        <w:rPr>
          <w:noProof/>
        </w:rPr>
        <w:fldChar w:fldCharType="begin"/>
      </w:r>
      <w:r>
        <w:rPr>
          <w:noProof/>
        </w:rPr>
        <w:instrText xml:space="preserve"> PAGEREF _Toc97043990 \h </w:instrText>
      </w:r>
      <w:r>
        <w:rPr>
          <w:noProof/>
        </w:rPr>
      </w:r>
      <w:r>
        <w:rPr>
          <w:noProof/>
        </w:rPr>
        <w:fldChar w:fldCharType="separate"/>
      </w:r>
      <w:r w:rsidR="009B28AC">
        <w:rPr>
          <w:noProof/>
        </w:rPr>
        <w:t>33</w:t>
      </w:r>
      <w:r>
        <w:rPr>
          <w:noProof/>
        </w:rPr>
        <w:fldChar w:fldCharType="end"/>
      </w:r>
    </w:p>
    <w:p w14:paraId="108CA1D9" w14:textId="68D69923" w:rsidR="003E7A5F" w:rsidRDefault="003E7A5F">
      <w:pPr>
        <w:pStyle w:val="Verzeichnis1"/>
        <w:rPr>
          <w:rFonts w:asciiTheme="minorHAnsi" w:eastAsiaTheme="minorEastAsia" w:hAnsiTheme="minorHAnsi"/>
          <w:noProof/>
          <w:sz w:val="22"/>
          <w:lang/>
        </w:rPr>
      </w:pPr>
      <w:r w:rsidRPr="00456084">
        <w:rPr>
          <w:rFonts w:ascii="Times New Roman" w:hAnsi="Times New Roman" w:cs="Times New Roman"/>
          <w:noProof/>
        </w:rPr>
        <w:t>IX.</w:t>
      </w:r>
      <w:r>
        <w:rPr>
          <w:rFonts w:asciiTheme="minorHAnsi" w:eastAsiaTheme="minorEastAsia" w:hAnsiTheme="minorHAnsi"/>
          <w:noProof/>
          <w:sz w:val="22"/>
          <w:lang/>
        </w:rPr>
        <w:tab/>
      </w:r>
      <w:r w:rsidRPr="00456084">
        <w:rPr>
          <w:rFonts w:ascii="Times New Roman" w:hAnsi="Times New Roman" w:cs="Times New Roman"/>
          <w:noProof/>
        </w:rPr>
        <w:t>Abkürzungen</w:t>
      </w:r>
      <w:r>
        <w:rPr>
          <w:noProof/>
        </w:rPr>
        <w:tab/>
      </w:r>
      <w:r>
        <w:rPr>
          <w:noProof/>
        </w:rPr>
        <w:fldChar w:fldCharType="begin"/>
      </w:r>
      <w:r>
        <w:rPr>
          <w:noProof/>
        </w:rPr>
        <w:instrText xml:space="preserve"> PAGEREF _Toc97043991 \h </w:instrText>
      </w:r>
      <w:r>
        <w:rPr>
          <w:noProof/>
        </w:rPr>
      </w:r>
      <w:r>
        <w:rPr>
          <w:noProof/>
        </w:rPr>
        <w:fldChar w:fldCharType="separate"/>
      </w:r>
      <w:r w:rsidR="009B28AC">
        <w:rPr>
          <w:noProof/>
        </w:rPr>
        <w:t>34</w:t>
      </w:r>
      <w:r>
        <w:rPr>
          <w:noProof/>
        </w:rPr>
        <w:fldChar w:fldCharType="end"/>
      </w:r>
    </w:p>
    <w:p w14:paraId="7E29ADF6" w14:textId="0AE26248" w:rsidR="003E7A5F" w:rsidRDefault="003E7A5F">
      <w:pPr>
        <w:pStyle w:val="Verzeichnis1"/>
        <w:rPr>
          <w:rFonts w:asciiTheme="minorHAnsi" w:eastAsiaTheme="minorEastAsia" w:hAnsiTheme="minorHAnsi"/>
          <w:noProof/>
          <w:sz w:val="22"/>
          <w:lang/>
        </w:rPr>
      </w:pPr>
      <w:r w:rsidRPr="00456084">
        <w:rPr>
          <w:rFonts w:ascii="Times New Roman" w:hAnsi="Times New Roman" w:cs="Times New Roman"/>
          <w:noProof/>
        </w:rPr>
        <w:t>X.</w:t>
      </w:r>
      <w:r>
        <w:rPr>
          <w:rFonts w:asciiTheme="minorHAnsi" w:eastAsiaTheme="minorEastAsia" w:hAnsiTheme="minorHAnsi"/>
          <w:noProof/>
          <w:sz w:val="22"/>
          <w:lang/>
        </w:rPr>
        <w:tab/>
      </w:r>
      <w:r w:rsidRPr="00456084">
        <w:rPr>
          <w:rFonts w:ascii="Times New Roman" w:hAnsi="Times New Roman" w:cs="Times New Roman"/>
          <w:noProof/>
        </w:rPr>
        <w:t>Fazit</w:t>
      </w:r>
      <w:r>
        <w:rPr>
          <w:noProof/>
        </w:rPr>
        <w:tab/>
      </w:r>
      <w:r>
        <w:rPr>
          <w:noProof/>
        </w:rPr>
        <w:fldChar w:fldCharType="begin"/>
      </w:r>
      <w:r>
        <w:rPr>
          <w:noProof/>
        </w:rPr>
        <w:instrText xml:space="preserve"> PAGEREF _Toc97043992 \h </w:instrText>
      </w:r>
      <w:r>
        <w:rPr>
          <w:noProof/>
        </w:rPr>
      </w:r>
      <w:r>
        <w:rPr>
          <w:noProof/>
        </w:rPr>
        <w:fldChar w:fldCharType="separate"/>
      </w:r>
      <w:r w:rsidR="009B28AC">
        <w:rPr>
          <w:noProof/>
        </w:rPr>
        <w:t>35</w:t>
      </w:r>
      <w:r>
        <w:rPr>
          <w:noProof/>
        </w:rPr>
        <w:fldChar w:fldCharType="end"/>
      </w:r>
    </w:p>
    <w:p w14:paraId="2003B60C" w14:textId="3C1ACA9A" w:rsidR="003E7A5F" w:rsidRDefault="003E7A5F">
      <w:pPr>
        <w:pStyle w:val="Verzeichnis1"/>
        <w:rPr>
          <w:noProof/>
        </w:rPr>
      </w:pPr>
      <w:r w:rsidRPr="00456084">
        <w:rPr>
          <w:rFonts w:ascii="Times New Roman" w:hAnsi="Times New Roman" w:cs="Times New Roman"/>
          <w:noProof/>
        </w:rPr>
        <w:t>XI.</w:t>
      </w:r>
      <w:r>
        <w:rPr>
          <w:rFonts w:asciiTheme="minorHAnsi" w:eastAsiaTheme="minorEastAsia" w:hAnsiTheme="minorHAnsi"/>
          <w:noProof/>
          <w:sz w:val="22"/>
          <w:lang/>
        </w:rPr>
        <w:tab/>
      </w:r>
      <w:r w:rsidRPr="00456084">
        <w:rPr>
          <w:rFonts w:ascii="Times New Roman" w:hAnsi="Times New Roman" w:cs="Times New Roman"/>
          <w:noProof/>
        </w:rPr>
        <w:t>Erklärung gemäss Artikel 42 Absatz 2 RSL RW</w:t>
      </w:r>
      <w:r>
        <w:rPr>
          <w:noProof/>
        </w:rPr>
        <w:tab/>
      </w:r>
      <w:r>
        <w:rPr>
          <w:noProof/>
        </w:rPr>
        <w:fldChar w:fldCharType="begin"/>
      </w:r>
      <w:r>
        <w:rPr>
          <w:noProof/>
        </w:rPr>
        <w:instrText xml:space="preserve"> PAGEREF _Toc97043993 \h </w:instrText>
      </w:r>
      <w:r>
        <w:rPr>
          <w:noProof/>
        </w:rPr>
      </w:r>
      <w:r>
        <w:rPr>
          <w:noProof/>
        </w:rPr>
        <w:fldChar w:fldCharType="separate"/>
      </w:r>
      <w:r w:rsidR="009B28AC">
        <w:rPr>
          <w:noProof/>
        </w:rPr>
        <w:t>36</w:t>
      </w:r>
      <w:r>
        <w:rPr>
          <w:noProof/>
        </w:rPr>
        <w:fldChar w:fldCharType="end"/>
      </w:r>
    </w:p>
    <w:p w14:paraId="41A96BAB" w14:textId="1B944CF9" w:rsidR="009B28AC" w:rsidRDefault="009B28AC">
      <w:pPr>
        <w:tabs>
          <w:tab w:val="clear" w:pos="397"/>
        </w:tabs>
        <w:spacing w:before="0" w:after="200" w:line="276" w:lineRule="auto"/>
        <w:jc w:val="left"/>
        <w:rPr>
          <w:noProof/>
        </w:rPr>
      </w:pPr>
      <w:r>
        <w:rPr>
          <w:noProof/>
        </w:rPr>
        <w:br w:type="page"/>
      </w:r>
    </w:p>
    <w:p w14:paraId="33F9806C" w14:textId="496BB19E" w:rsidR="00587619" w:rsidRDefault="00EC71B3" w:rsidP="00F51BE4">
      <w:pPr>
        <w:pStyle w:val="Verzeichnistitel"/>
        <w:spacing w:line="288" w:lineRule="auto"/>
        <w:contextualSpacing/>
        <w:rPr>
          <w:rFonts w:ascii="Times New Roman" w:hAnsi="Times New Roman" w:cs="Times New Roman"/>
        </w:rPr>
      </w:pPr>
      <w:r>
        <w:rPr>
          <w:rFonts w:ascii="Times New Roman" w:hAnsi="Times New Roman" w:cs="Times New Roman"/>
          <w:b w:val="0"/>
          <w:noProof/>
          <w:sz w:val="24"/>
        </w:rPr>
        <w:lastRenderedPageBreak/>
        <w:fldChar w:fldCharType="end"/>
      </w:r>
      <w:bookmarkStart w:id="6" w:name="_Toc97043958"/>
      <w:r w:rsidR="00587619" w:rsidRPr="00D57D51">
        <w:rPr>
          <w:rFonts w:ascii="Times New Roman" w:hAnsi="Times New Roman" w:cs="Times New Roman"/>
        </w:rPr>
        <w:t>Literaturverzeichnis</w:t>
      </w:r>
      <w:r w:rsidR="002B68B3">
        <w:rPr>
          <w:rStyle w:val="Funotenzeichen"/>
          <w:rFonts w:ascii="Times New Roman" w:hAnsi="Times New Roman" w:cs="Times New Roman"/>
        </w:rPr>
        <w:footnoteReference w:id="2"/>
      </w:r>
      <w:bookmarkEnd w:id="6"/>
    </w:p>
    <w:p w14:paraId="05C0755F" w14:textId="26BE1260" w:rsidR="00587619" w:rsidRPr="00D57D51" w:rsidRDefault="00587619" w:rsidP="006E39DA">
      <w:r w:rsidRPr="00D57D51">
        <w:t xml:space="preserve">Stand sämtlicher Internet-Referenzen in dieser Arbeit ist der </w:t>
      </w:r>
      <w:r w:rsidR="001E26A8">
        <w:t>[DATUM].</w:t>
      </w:r>
      <w:r w:rsidR="0018138C">
        <w:rPr>
          <w:rStyle w:val="Funotenzeichen"/>
          <w:rFonts w:cs="Times New Roman"/>
        </w:rPr>
        <w:footnoteReference w:id="3"/>
      </w:r>
    </w:p>
    <w:p w14:paraId="43637196" w14:textId="77777777" w:rsidR="00587619" w:rsidRPr="00D57D51" w:rsidRDefault="00587619" w:rsidP="00F51BE4">
      <w:pPr>
        <w:pStyle w:val="Literatur"/>
        <w:rPr>
          <w:rFonts w:cs="Times New Roman"/>
        </w:rPr>
      </w:pPr>
    </w:p>
    <w:p w14:paraId="01A81F94" w14:textId="3CE25D63" w:rsidR="00DF233F" w:rsidRPr="00E564A4" w:rsidRDefault="00DF233F" w:rsidP="0062535D">
      <w:pPr>
        <w:pStyle w:val="Literatur"/>
      </w:pPr>
      <w:r w:rsidRPr="00E564A4">
        <w:rPr>
          <w:smallCaps/>
        </w:rPr>
        <w:t xml:space="preserve">Bachofner Eva, </w:t>
      </w:r>
      <w:r w:rsidRPr="00E564A4">
        <w:t>Art. 260 SchKG, in: Daniel Staehelin/Thomas Bauer/Franco Lorandi (Hrsg.), Basler Kommentar</w:t>
      </w:r>
      <w:r w:rsidR="00F90BE9">
        <w:t>.</w:t>
      </w:r>
      <w:r w:rsidRPr="00E564A4">
        <w:t xml:space="preserve"> Bundesgesetz über Schuldbetreibung und Konkurs</w:t>
      </w:r>
      <w:r w:rsidR="006B40C6">
        <w:t xml:space="preserve"> </w:t>
      </w:r>
      <w:r w:rsidRPr="00E564A4">
        <w:t>II, 3. Auflage, Basel 2021.</w:t>
      </w:r>
    </w:p>
    <w:p w14:paraId="5FC616A3" w14:textId="6E43508D" w:rsidR="00D86D3E" w:rsidRPr="00E564A4" w:rsidRDefault="00DB47DD" w:rsidP="0062535D">
      <w:pPr>
        <w:pStyle w:val="Literatur"/>
      </w:pPr>
      <w:r w:rsidRPr="00E564A4">
        <w:rPr>
          <w:smallCaps/>
        </w:rPr>
        <w:t>Berger Bernhard,</w:t>
      </w:r>
      <w:r w:rsidRPr="00E564A4">
        <w:t xml:space="preserve"> </w:t>
      </w:r>
      <w:r w:rsidR="00A867A6" w:rsidRPr="00E564A4">
        <w:t xml:space="preserve">Art. 12 ZPO, in: Heinz Hausheer/Hans Peter Walter (Hrsg.), Berner </w:t>
      </w:r>
      <w:r w:rsidRPr="00E564A4">
        <w:t>Kommentar zu</w:t>
      </w:r>
      <w:r w:rsidR="002A04AC" w:rsidRPr="00E564A4">
        <w:t>m</w:t>
      </w:r>
      <w:r w:rsidRPr="00E564A4">
        <w:t xml:space="preserve"> schweizerischen </w:t>
      </w:r>
      <w:r w:rsidR="002A04AC" w:rsidRPr="00E564A4">
        <w:t>Privatrecht</w:t>
      </w:r>
      <w:r w:rsidR="00A42804" w:rsidRPr="00E564A4">
        <w:t>.</w:t>
      </w:r>
      <w:r w:rsidR="002A04AC" w:rsidRPr="00E564A4">
        <w:t xml:space="preserve"> Zivilprozessordnung. Art. 1–149 ZPO,</w:t>
      </w:r>
      <w:r w:rsidRPr="00E564A4">
        <w:t xml:space="preserve"> Bern 2012.</w:t>
      </w:r>
    </w:p>
    <w:p w14:paraId="062EAD5A" w14:textId="060C060A" w:rsidR="00113A54" w:rsidRPr="00E564A4" w:rsidRDefault="003C06B8" w:rsidP="0062535D">
      <w:pPr>
        <w:pStyle w:val="Literatur"/>
        <w:rPr>
          <w:smallCaps/>
        </w:rPr>
      </w:pPr>
      <w:r w:rsidRPr="00E564A4">
        <w:rPr>
          <w:smallCaps/>
        </w:rPr>
        <w:t xml:space="preserve">Brehm Roland, </w:t>
      </w:r>
      <w:r w:rsidR="00A867A6" w:rsidRPr="00E564A4">
        <w:t>Berner K</w:t>
      </w:r>
      <w:r w:rsidR="00E80439" w:rsidRPr="00E564A4">
        <w:t>ommentar zum schweizerischen Privatrecht</w:t>
      </w:r>
      <w:r w:rsidR="00C90CE9" w:rsidRPr="00E564A4">
        <w:t>.</w:t>
      </w:r>
      <w:r w:rsidR="00E80439" w:rsidRPr="00E564A4">
        <w:t xml:space="preserve"> </w:t>
      </w:r>
      <w:r w:rsidRPr="00E564A4">
        <w:t>Obligationenrecht. Allgemeine Bestimmungen. Die Entstehung durch unerlaubte Handlungen</w:t>
      </w:r>
      <w:r w:rsidR="00B92F56" w:rsidRPr="00E564A4">
        <w:t>.</w:t>
      </w:r>
      <w:r w:rsidRPr="00E564A4">
        <w:t xml:space="preserve"> Art. 41–61 OR, hrsg. von Heinz Hausheer/Hans Peter Walter, 4.</w:t>
      </w:r>
      <w:r w:rsidR="00A867A6" w:rsidRPr="00E564A4">
        <w:t> </w:t>
      </w:r>
      <w:r w:rsidRPr="00E564A4">
        <w:t>Aufl., Bern 2013</w:t>
      </w:r>
      <w:r w:rsidRPr="00E564A4">
        <w:rPr>
          <w:smallCaps/>
        </w:rPr>
        <w:t>.</w:t>
      </w:r>
    </w:p>
    <w:p w14:paraId="26CF3CDE" w14:textId="5704EE1A" w:rsidR="000516F7" w:rsidRDefault="000516F7" w:rsidP="0062535D">
      <w:pPr>
        <w:pStyle w:val="Literatur"/>
        <w:rPr>
          <w:lang w:val="fr-CH"/>
        </w:rPr>
      </w:pPr>
      <w:r w:rsidRPr="00E564A4">
        <w:rPr>
          <w:smallCaps/>
        </w:rPr>
        <w:t>Bucher Eugen</w:t>
      </w:r>
      <w:r w:rsidRPr="00E564A4">
        <w:rPr>
          <w:i/>
          <w:iCs/>
        </w:rPr>
        <w:t>,</w:t>
      </w:r>
      <w:r w:rsidRPr="00E564A4">
        <w:t xml:space="preserve"> Nicht «Kontrahierungspflich</w:t>
      </w:r>
      <w:r>
        <w:t xml:space="preserve">t» – </w:t>
      </w:r>
      <w:r w:rsidR="00EB546F">
        <w:t>S</w:t>
      </w:r>
      <w:r>
        <w:t>chon eher Schutz vor Boykott</w:t>
      </w:r>
      <w:r w:rsidR="00EB546F">
        <w:t>. BGE 129 III 35 ff. (7. Mai 2002; 4C.297/2001)</w:t>
      </w:r>
      <w:r>
        <w:t>, recht 2003</w:t>
      </w:r>
      <w:r w:rsidRPr="003F51C9">
        <w:t>, S. 101</w:t>
      </w:r>
      <w:r w:rsidR="00D62E6B">
        <w:t>–</w:t>
      </w:r>
      <w:r w:rsidR="003F51C9" w:rsidRPr="003F51C9">
        <w:t>115</w:t>
      </w:r>
      <w:r w:rsidRPr="003F51C9">
        <w:t>.</w:t>
      </w:r>
    </w:p>
    <w:p w14:paraId="62E01267" w14:textId="4D26D0A7" w:rsidR="000516F7" w:rsidRDefault="000516F7" w:rsidP="005020D4">
      <w:pPr>
        <w:pStyle w:val="LiteraturAufzaehlung"/>
        <w:rPr>
          <w:lang w:val="fr-CH"/>
        </w:rPr>
      </w:pPr>
      <w:r>
        <w:t xml:space="preserve">Obligationenrecht. Besonderer Teil, 3. </w:t>
      </w:r>
      <w:proofErr w:type="spellStart"/>
      <w:r>
        <w:rPr>
          <w:lang w:val="fr-CH"/>
        </w:rPr>
        <w:t>Aufl</w:t>
      </w:r>
      <w:proofErr w:type="spellEnd"/>
      <w:r>
        <w:rPr>
          <w:lang w:val="fr-CH"/>
        </w:rPr>
        <w:t>., Zürich 1988.</w:t>
      </w:r>
    </w:p>
    <w:p w14:paraId="04B131A4" w14:textId="1775E1C1" w:rsidR="00990E73" w:rsidRPr="003F51C9" w:rsidRDefault="00990E73" w:rsidP="005020D4">
      <w:pPr>
        <w:pStyle w:val="LiteraturAufzaehlung"/>
      </w:pPr>
      <w:r>
        <w:t xml:space="preserve">Die verschiedenen Bedeutungsstufen des Vorvertrages, in: Eugen Bucher/Peter </w:t>
      </w:r>
      <w:r w:rsidRPr="004E6267">
        <w:t xml:space="preserve">Saladin (Hrsg.), Berner Festgabe zum </w:t>
      </w:r>
      <w:proofErr w:type="gramStart"/>
      <w:r w:rsidRPr="004E6267">
        <w:t>Schweizerischen</w:t>
      </w:r>
      <w:proofErr w:type="gramEnd"/>
      <w:r w:rsidRPr="004E6267">
        <w:t xml:space="preserve"> Juristentag 1979, </w:t>
      </w:r>
      <w:r w:rsidRPr="003F51C9">
        <w:t>S.</w:t>
      </w:r>
      <w:r w:rsidR="008D52AD" w:rsidRPr="003F51C9">
        <w:t> </w:t>
      </w:r>
      <w:r w:rsidRPr="003F51C9">
        <w:t>169</w:t>
      </w:r>
      <w:r w:rsidR="00D62E6B">
        <w:t>–</w:t>
      </w:r>
      <w:r w:rsidR="003F51C9" w:rsidRPr="003F51C9">
        <w:t>195</w:t>
      </w:r>
      <w:r w:rsidRPr="003F51C9">
        <w:rPr>
          <w:smallCaps/>
        </w:rPr>
        <w:t>.</w:t>
      </w:r>
    </w:p>
    <w:p w14:paraId="413B760B" w14:textId="7C0A960C" w:rsidR="004E6267" w:rsidRPr="004E6267" w:rsidRDefault="0003382C" w:rsidP="0062535D">
      <w:pPr>
        <w:pStyle w:val="Literatur"/>
        <w:rPr>
          <w:lang w:val="fr-CH"/>
        </w:rPr>
      </w:pPr>
      <w:r w:rsidRPr="0003382C">
        <w:rPr>
          <w:smallCaps/>
          <w:lang w:val="fr-CH"/>
        </w:rPr>
        <w:t>Chappuis Christine</w:t>
      </w:r>
      <w:r>
        <w:rPr>
          <w:i/>
          <w:lang w:val="fr-CH"/>
        </w:rPr>
        <w:t>,</w:t>
      </w:r>
      <w:r>
        <w:rPr>
          <w:lang w:val="fr-CH"/>
        </w:rPr>
        <w:t xml:space="preserve"> La suspension des délais de prescription, </w:t>
      </w:r>
      <w:proofErr w:type="gramStart"/>
      <w:r>
        <w:rPr>
          <w:lang w:val="fr-CH"/>
        </w:rPr>
        <w:t>in:</w:t>
      </w:r>
      <w:proofErr w:type="gramEnd"/>
      <w:r>
        <w:rPr>
          <w:lang w:val="fr-CH"/>
        </w:rPr>
        <w:t xml:space="preserve"> Franz </w:t>
      </w:r>
      <w:proofErr w:type="spellStart"/>
      <w:r>
        <w:rPr>
          <w:lang w:val="fr-CH"/>
        </w:rPr>
        <w:t>Werro</w:t>
      </w:r>
      <w:proofErr w:type="spellEnd"/>
      <w:r>
        <w:rPr>
          <w:lang w:val="fr-CH"/>
        </w:rPr>
        <w:t xml:space="preserve">/Pascal </w:t>
      </w:r>
      <w:proofErr w:type="spellStart"/>
      <w:r>
        <w:rPr>
          <w:lang w:val="fr-CH"/>
        </w:rPr>
        <w:t>Pichonnaz</w:t>
      </w:r>
      <w:proofErr w:type="spellEnd"/>
      <w:r>
        <w:rPr>
          <w:lang w:val="fr-CH"/>
        </w:rPr>
        <w:t xml:space="preserve"> (</w:t>
      </w:r>
      <w:proofErr w:type="spellStart"/>
      <w:r>
        <w:rPr>
          <w:lang w:val="fr-CH"/>
        </w:rPr>
        <w:t>Hrsg</w:t>
      </w:r>
      <w:proofErr w:type="spellEnd"/>
      <w:r>
        <w:rPr>
          <w:lang w:val="fr-CH"/>
        </w:rPr>
        <w:t>.), Le nouveau droit de la prescription, Bern 2019</w:t>
      </w:r>
      <w:r w:rsidRPr="00B109AE">
        <w:rPr>
          <w:lang w:val="fr-CH"/>
        </w:rPr>
        <w:t xml:space="preserve">, S. </w:t>
      </w:r>
      <w:r w:rsidR="00E51667">
        <w:rPr>
          <w:lang w:val="fr-CH"/>
        </w:rPr>
        <w:t>40</w:t>
      </w:r>
      <w:r w:rsidR="00D62E6B">
        <w:rPr>
          <w:lang w:val="fr-CH"/>
        </w:rPr>
        <w:t>–</w:t>
      </w:r>
      <w:r w:rsidR="00B109AE" w:rsidRPr="00B109AE">
        <w:rPr>
          <w:lang w:val="fr-CH"/>
        </w:rPr>
        <w:t>48</w:t>
      </w:r>
      <w:r w:rsidR="004E6267" w:rsidRPr="00B109AE">
        <w:rPr>
          <w:lang w:val="fr-CH"/>
        </w:rPr>
        <w:t>.</w:t>
      </w:r>
    </w:p>
    <w:p w14:paraId="5DA2CD7E" w14:textId="0A62DC07" w:rsidR="00BD76FD" w:rsidRDefault="00BD76FD" w:rsidP="0062535D">
      <w:pPr>
        <w:pStyle w:val="Literatur"/>
      </w:pPr>
      <w:r w:rsidRPr="00BD76FD">
        <w:rPr>
          <w:iCs/>
          <w:smallCaps/>
        </w:rPr>
        <w:t>Dal Molin-Kränzlin Alexandra</w:t>
      </w:r>
      <w:r>
        <w:rPr>
          <w:i/>
          <w:iCs/>
        </w:rPr>
        <w:t xml:space="preserve">, </w:t>
      </w:r>
      <w:r>
        <w:t>Die Verknüpfung zwischen gesicherter Forderung und grundpfandbezogenen Sicherungsrechten (Diss. Luzern), Zürich 2016.</w:t>
      </w:r>
    </w:p>
    <w:p w14:paraId="6C9FCDCD" w14:textId="4BEFEB02" w:rsidR="00F86CFD" w:rsidRDefault="00F86CFD" w:rsidP="0062535D">
      <w:pPr>
        <w:pStyle w:val="Literatur"/>
        <w:rPr>
          <w:smallCaps/>
        </w:rPr>
      </w:pPr>
      <w:r w:rsidRPr="00F86CFD">
        <w:rPr>
          <w:smallCaps/>
        </w:rPr>
        <w:t>Eggen Mirjam</w:t>
      </w:r>
      <w:r>
        <w:t>, Verträge über digitale Währungen. Eine privatrechtliche Qualifikation von Rechtsgeschäften in oder mit digitalen Währungen, Jusletter 4.</w:t>
      </w:r>
      <w:r w:rsidR="0049717C">
        <w:t> </w:t>
      </w:r>
      <w:r>
        <w:t>Dezember 2017.</w:t>
      </w:r>
    </w:p>
    <w:p w14:paraId="77D2FD24" w14:textId="3D32122A" w:rsidR="00882BDA" w:rsidRDefault="00882BDA" w:rsidP="0062535D">
      <w:pPr>
        <w:pStyle w:val="Literatur"/>
        <w:rPr>
          <w:smallCaps/>
        </w:rPr>
      </w:pPr>
      <w:r w:rsidRPr="00B5736B">
        <w:rPr>
          <w:smallCaps/>
        </w:rPr>
        <w:lastRenderedPageBreak/>
        <w:t>Emmenegger Susan</w:t>
      </w:r>
      <w:r>
        <w:rPr>
          <w:i/>
        </w:rPr>
        <w:t xml:space="preserve">, </w:t>
      </w:r>
      <w:r>
        <w:t xml:space="preserve">Geldschuld und bargeldloser Zahlungsverkehr, in: </w:t>
      </w:r>
      <w:r w:rsidR="00C03F2C">
        <w:t xml:space="preserve">Peter V. Kunz u.a. (Hrsg.), Berner Gedanken zum Recht. </w:t>
      </w:r>
      <w:r>
        <w:t xml:space="preserve">Festgabe </w:t>
      </w:r>
      <w:r w:rsidR="00C03F2C">
        <w:t>der Rechtswissenschaftlichen Fakultät der Universität Bern für den S</w:t>
      </w:r>
      <w:r>
        <w:t>chweizeri</w:t>
      </w:r>
      <w:r>
        <w:softHyphen/>
        <w:t xml:space="preserve">schen Juristentag 2014, Bern </w:t>
      </w:r>
      <w:r w:rsidRPr="0064399A">
        <w:t>2014, S. 3</w:t>
      </w:r>
      <w:r w:rsidR="00D62E6B">
        <w:t>–</w:t>
      </w:r>
      <w:r w:rsidR="0064399A" w:rsidRPr="0064399A">
        <w:t>15</w:t>
      </w:r>
      <w:r w:rsidRPr="0064399A">
        <w:t>.</w:t>
      </w:r>
    </w:p>
    <w:p w14:paraId="6B5164BA" w14:textId="2070BE41" w:rsidR="001C1D0B" w:rsidRPr="00E564A4" w:rsidRDefault="001C1D0B" w:rsidP="005020D4">
      <w:pPr>
        <w:pStyle w:val="LiteraturAufzaehlung"/>
      </w:pPr>
      <w:r>
        <w:t xml:space="preserve">Bankorganisationsrecht als Koordinationsaufgabe. Grundlinien einer Dogmatik der Verhältnisbestimmungen zwischen Aufsichtsrecht und Aktienrecht (Habil. Freiburg), </w:t>
      </w:r>
      <w:r w:rsidRPr="00E564A4">
        <w:t>Bern 2004.</w:t>
      </w:r>
    </w:p>
    <w:p w14:paraId="1928488C" w14:textId="2D5BBD84" w:rsidR="007802F1" w:rsidRPr="00E564A4" w:rsidRDefault="00E013BC" w:rsidP="0062535D">
      <w:pPr>
        <w:pStyle w:val="Literatur"/>
        <w:rPr>
          <w:smallCaps/>
        </w:rPr>
      </w:pPr>
      <w:r w:rsidRPr="00E564A4">
        <w:rPr>
          <w:smallCaps/>
        </w:rPr>
        <w:t>Emmenegger Susan/Tschentscher Axel</w:t>
      </w:r>
      <w:r w:rsidRPr="00E564A4">
        <w:t xml:space="preserve">, </w:t>
      </w:r>
      <w:r w:rsidR="00A867A6" w:rsidRPr="00E564A4">
        <w:t xml:space="preserve">Art. 1 ZGB, in: Heinz Hausheer/Hans Peter Walter (Hrsg.), Berner </w:t>
      </w:r>
      <w:r w:rsidR="00E80439" w:rsidRPr="00E564A4">
        <w:t>Kommentar zum schweizerischen Privatrecht</w:t>
      </w:r>
      <w:r w:rsidR="00A867A6" w:rsidRPr="00E564A4">
        <w:t xml:space="preserve">. </w:t>
      </w:r>
      <w:r w:rsidRPr="00E564A4">
        <w:t>Zivilgesetzbuch. Einleitung und Personenrecht. Einleitung</w:t>
      </w:r>
      <w:r w:rsidR="00B92F56" w:rsidRPr="00E564A4">
        <w:t>.</w:t>
      </w:r>
      <w:r w:rsidR="00DC4E77" w:rsidRPr="00E564A4">
        <w:t xml:space="preserve"> Art. 1–9 ZGB</w:t>
      </w:r>
      <w:r w:rsidRPr="00E564A4">
        <w:t>, Bern 2012.</w:t>
      </w:r>
      <w:r w:rsidR="007802F1" w:rsidRPr="00E564A4">
        <w:rPr>
          <w:smallCaps/>
        </w:rPr>
        <w:t xml:space="preserve"> </w:t>
      </w:r>
    </w:p>
    <w:p w14:paraId="4E6E5C72" w14:textId="55A69E43" w:rsidR="00EF755D" w:rsidRPr="00493667" w:rsidRDefault="00EF755D" w:rsidP="0062535D">
      <w:pPr>
        <w:pStyle w:val="Literatur"/>
      </w:pPr>
      <w:r w:rsidRPr="00E564A4">
        <w:rPr>
          <w:smallCaps/>
        </w:rPr>
        <w:t>FATF – Financial</w:t>
      </w:r>
      <w:r>
        <w:rPr>
          <w:smallCaps/>
        </w:rPr>
        <w:t xml:space="preserve"> Action Task Force</w:t>
      </w:r>
      <w:r>
        <w:t>, International Standards on Com</w:t>
      </w:r>
      <w:r w:rsidR="00E564A4">
        <w:t>b</w:t>
      </w:r>
      <w:r>
        <w:t xml:space="preserve">ating Money Laundering and the Financing of Terrorism </w:t>
      </w:r>
      <w:r w:rsidR="00E564A4">
        <w:t xml:space="preserve">&amp; </w:t>
      </w:r>
      <w:r>
        <w:t>Proliferation. The FAFT Recommendations. Updated October 2021, abrufbar unter: &lt;</w:t>
      </w:r>
      <w:r w:rsidRPr="00EF755D">
        <w:t>www.fatf-gafi.org/media/fatf/documents/recommendations/pdfs/FATF%20Recommen</w:t>
      </w:r>
      <w:r w:rsidR="00AE4748">
        <w:br/>
      </w:r>
      <w:r w:rsidRPr="00EF755D">
        <w:t>dations%202012.pdf</w:t>
      </w:r>
      <w:r>
        <w:t>&gt;</w:t>
      </w:r>
      <w:r w:rsidR="00087A98">
        <w:t>.</w:t>
      </w:r>
    </w:p>
    <w:p w14:paraId="2FBDB18A" w14:textId="2F8F8EDC" w:rsidR="007802F1" w:rsidRDefault="007802F1" w:rsidP="0062535D">
      <w:pPr>
        <w:pStyle w:val="Literatur"/>
      </w:pPr>
      <w:r w:rsidRPr="00DD2F96">
        <w:rPr>
          <w:smallCaps/>
        </w:rPr>
        <w:t>Frick Joachim G.</w:t>
      </w:r>
      <w:r w:rsidRPr="00DD2F96">
        <w:t>, Culpa in contrahendo</w:t>
      </w:r>
      <w:r w:rsidR="00F17E1C">
        <w:t xml:space="preserve"> –</w:t>
      </w:r>
      <w:r w:rsidRPr="00DD2F96">
        <w:t xml:space="preserve"> Eine rechtsvergleichende und kollisionsrechtliche Studie (Diss. Zürich), Zürich 1992.</w:t>
      </w:r>
    </w:p>
    <w:p w14:paraId="4F63E595" w14:textId="424A26A6" w:rsidR="00882BDA" w:rsidRDefault="00882BDA" w:rsidP="0062535D">
      <w:pPr>
        <w:pStyle w:val="Literatur"/>
      </w:pPr>
      <w:r>
        <w:rPr>
          <w:smallCaps/>
        </w:rPr>
        <w:t xml:space="preserve">Gauch Peter, </w:t>
      </w:r>
      <w:r>
        <w:t>Der Werkvertrag, 6. Aufl., Zürich u.a. 2019.</w:t>
      </w:r>
    </w:p>
    <w:p w14:paraId="1D107330" w14:textId="165930D0" w:rsidR="00882BDA" w:rsidRPr="00961146" w:rsidRDefault="00882BDA" w:rsidP="005020D4">
      <w:pPr>
        <w:pStyle w:val="LiteraturAufzaehlung"/>
        <w:rPr>
          <w:smallCaps/>
        </w:rPr>
      </w:pPr>
      <w:r>
        <w:t xml:space="preserve">Periodisch geschuldete Leistungen: </w:t>
      </w:r>
      <w:r w:rsidRPr="00961146">
        <w:t xml:space="preserve">Gedanken zur Verjährungsbestimmung des Art. 128 Ziff. 1 OR, AJP 2014, </w:t>
      </w:r>
      <w:r w:rsidRPr="000B44C4">
        <w:t>S. 285</w:t>
      </w:r>
      <w:r w:rsidR="00D62E6B">
        <w:t>–</w:t>
      </w:r>
      <w:r w:rsidR="00961146" w:rsidRPr="000B44C4">
        <w:t>293</w:t>
      </w:r>
      <w:r w:rsidRPr="000B44C4">
        <w:t>.</w:t>
      </w:r>
    </w:p>
    <w:p w14:paraId="2D5BC701" w14:textId="33F628A1" w:rsidR="00CC29C6" w:rsidRDefault="00CC29C6" w:rsidP="005020D4">
      <w:pPr>
        <w:pStyle w:val="LiteraturAufzaehlung"/>
        <w:rPr>
          <w:smallCaps/>
        </w:rPr>
      </w:pPr>
      <w:r>
        <w:t xml:space="preserve">Die revidierten Art. 210 und 371 OR, </w:t>
      </w:r>
      <w:r w:rsidRPr="000B44C4">
        <w:t>recht 2012, S. 124</w:t>
      </w:r>
      <w:r w:rsidR="00D62E6B">
        <w:t>–</w:t>
      </w:r>
      <w:r w:rsidR="000B44C4" w:rsidRPr="000B44C4">
        <w:t>136</w:t>
      </w:r>
      <w:r w:rsidR="00541B4D" w:rsidRPr="000B44C4">
        <w:t>.</w:t>
      </w:r>
      <w:r>
        <w:rPr>
          <w:smallCaps/>
        </w:rPr>
        <w:t xml:space="preserve"> </w:t>
      </w:r>
    </w:p>
    <w:p w14:paraId="7C8797E1" w14:textId="5B7DD7B2" w:rsidR="00693E78" w:rsidRDefault="00693E78" w:rsidP="0062535D">
      <w:pPr>
        <w:pStyle w:val="Literatur"/>
        <w:rPr>
          <w:smallCaps/>
        </w:rPr>
      </w:pPr>
      <w:r>
        <w:rPr>
          <w:smallCaps/>
        </w:rPr>
        <w:t xml:space="preserve">Gauch Peter/Schluep Walter R./Schmid Jörg/Emmenegger Susan, </w:t>
      </w:r>
      <w:proofErr w:type="gramStart"/>
      <w:r>
        <w:t>Schweizerisches</w:t>
      </w:r>
      <w:proofErr w:type="gramEnd"/>
      <w:r>
        <w:t xml:space="preserve"> Obligationenrecht. Allgemeiner Teil, zwei Bände, 11. Aufl., Zürich 2020</w:t>
      </w:r>
      <w:r>
        <w:rPr>
          <w:smallCaps/>
        </w:rPr>
        <w:t>.</w:t>
      </w:r>
    </w:p>
    <w:p w14:paraId="3B89D374" w14:textId="554CB29F" w:rsidR="00FB6D4C" w:rsidRDefault="00FB6D4C" w:rsidP="0062535D">
      <w:pPr>
        <w:pStyle w:val="Literatur"/>
      </w:pPr>
      <w:r w:rsidRPr="001950FC">
        <w:rPr>
          <w:iCs/>
          <w:smallCaps/>
          <w:spacing w:val="-2"/>
        </w:rPr>
        <w:t>Gauch Peter/Stöckli Hubert</w:t>
      </w:r>
      <w:r>
        <w:rPr>
          <w:spacing w:val="-2"/>
        </w:rPr>
        <w:t xml:space="preserve"> (Hrsg.), OR-Textausgabe, Schweizerisches Obligationenrecht. Textaus</w:t>
      </w:r>
      <w:r>
        <w:rPr>
          <w:spacing w:val="-2"/>
        </w:rPr>
        <w:softHyphen/>
        <w:t>gabe</w:t>
      </w:r>
      <w:r>
        <w:t xml:space="preserve"> mit Anhängen, Querverweisen, Sachregister und Anmerkungen, 52. Aufl., Zürich 2018.</w:t>
      </w:r>
    </w:p>
    <w:p w14:paraId="7A6D6383" w14:textId="6C6A941D" w:rsidR="006D19D8" w:rsidRPr="006D19D8" w:rsidRDefault="006D19D8" w:rsidP="006D19D8">
      <w:pPr>
        <w:pStyle w:val="Literatur"/>
      </w:pPr>
      <w:r w:rsidRPr="008C4507">
        <w:rPr>
          <w:smallCaps/>
        </w:rPr>
        <w:t>Göksu Tarkan</w:t>
      </w:r>
      <w:r w:rsidRPr="008C4507">
        <w:t>, Art. 119 OR, in: Peter Gauch/Hubert Stöckli (Hrsg.)</w:t>
      </w:r>
      <w:r w:rsidRPr="008C4507">
        <w:rPr>
          <w:i/>
        </w:rPr>
        <w:t>,</w:t>
      </w:r>
      <w:r w:rsidRPr="008C4507">
        <w:t xml:space="preserve"> Präjudizienbuch OR. Die Rechtsprechung des Bundesgerichts (1875–2020), 10. Aufl., Zürich 2021.</w:t>
      </w:r>
    </w:p>
    <w:p w14:paraId="3AD664B3" w14:textId="3A306776" w:rsidR="00E226B4" w:rsidRDefault="00E226B4" w:rsidP="0062535D">
      <w:pPr>
        <w:pStyle w:val="Literatur"/>
      </w:pPr>
      <w:proofErr w:type="spellStart"/>
      <w:r w:rsidRPr="00E226B4">
        <w:rPr>
          <w:smallCaps/>
          <w:lang w:val="en-US"/>
        </w:rPr>
        <w:t>Gyr</w:t>
      </w:r>
      <w:proofErr w:type="spellEnd"/>
      <w:r w:rsidRPr="00E226B4">
        <w:rPr>
          <w:smallCaps/>
          <w:lang w:val="en-US"/>
        </w:rPr>
        <w:t xml:space="preserve"> Eleonor</w:t>
      </w:r>
      <w:r>
        <w:rPr>
          <w:lang w:val="en-US"/>
        </w:rPr>
        <w:t xml:space="preserve">, Blockchain und Smart Contracts. </w:t>
      </w:r>
      <w:r>
        <w:t>Die vertragsrechtlichen Implikationen einer neuen Technologie (Diss. Bern), Bern 2019.</w:t>
      </w:r>
    </w:p>
    <w:p w14:paraId="5276C9D0" w14:textId="5D438239" w:rsidR="00C32E74" w:rsidRDefault="00C32E74" w:rsidP="0062535D">
      <w:pPr>
        <w:pStyle w:val="Literatur"/>
      </w:pPr>
      <w:r w:rsidRPr="00C32E74">
        <w:rPr>
          <w:smallCaps/>
        </w:rPr>
        <w:t>Hartmann Stephan</w:t>
      </w:r>
      <w:r>
        <w:rPr>
          <w:i/>
        </w:rPr>
        <w:t>,</w:t>
      </w:r>
      <w:r>
        <w:t xml:space="preserve"> Auslegung nach dem Vertrauensprinzip und tatsächliches Verständnis, in: Bettina Hürlimann-Kaup u.a. (Hrsg.), Sachenrecht, Obligationenrecht und mehr. Liber amicorum für Jörg Schmid zum 60. Geburtstag, Zürich </w:t>
      </w:r>
      <w:r w:rsidRPr="004A0F95">
        <w:t xml:space="preserve">2019, </w:t>
      </w:r>
      <w:r w:rsidRPr="00B85A0A">
        <w:t>S. 163</w:t>
      </w:r>
      <w:r w:rsidR="00301EB5" w:rsidRPr="00B85A0A">
        <w:t>–185</w:t>
      </w:r>
      <w:r w:rsidRPr="00B85A0A">
        <w:t>.</w:t>
      </w:r>
    </w:p>
    <w:p w14:paraId="7CC3D0CA" w14:textId="2F46E0B0" w:rsidR="00A34A1F" w:rsidRDefault="00A34A1F" w:rsidP="0062535D">
      <w:pPr>
        <w:pStyle w:val="Literatur"/>
      </w:pPr>
      <w:r w:rsidRPr="00A34A1F">
        <w:rPr>
          <w:smallCaps/>
        </w:rPr>
        <w:lastRenderedPageBreak/>
        <w:t>Hess Martin/Lienhard Stephanie</w:t>
      </w:r>
      <w:r>
        <w:t>, Unautorisierte Zahlungen mit virtuellen Währungen, in: Susan Emmenegger (Hrsg.), Zahlungsverkehr</w:t>
      </w:r>
      <w:r w:rsidR="003839CD">
        <w:t>. Schweizerische Bankrechtstagung 2018,</w:t>
      </w:r>
      <w:r>
        <w:t xml:space="preserve"> Basel 2018, </w:t>
      </w:r>
      <w:r w:rsidRPr="00FF4E0D">
        <w:t>S. 155</w:t>
      </w:r>
      <w:r w:rsidR="003839CD" w:rsidRPr="00FF4E0D">
        <w:t>–176</w:t>
      </w:r>
      <w:r w:rsidRPr="00FF4E0D">
        <w:t>.</w:t>
      </w:r>
    </w:p>
    <w:p w14:paraId="3E08BEDC" w14:textId="33576ACB" w:rsidR="00862076" w:rsidRDefault="00862076" w:rsidP="0062535D">
      <w:pPr>
        <w:pStyle w:val="Literatur"/>
        <w:rPr>
          <w:smallCaps/>
        </w:rPr>
      </w:pPr>
      <w:r w:rsidRPr="00E564A4">
        <w:rPr>
          <w:smallCaps/>
        </w:rPr>
        <w:t>Honsell Heinrich</w:t>
      </w:r>
      <w:r w:rsidRPr="00E564A4">
        <w:t xml:space="preserve">, </w:t>
      </w:r>
      <w:r w:rsidR="00B92F56" w:rsidRPr="00E564A4">
        <w:t xml:space="preserve">Art. 207, 210 und 219 OR, in: Corinne Widmer Lüchinger/David Oser (Hrsg.), Basler </w:t>
      </w:r>
      <w:r w:rsidRPr="00E564A4">
        <w:t>Kommentar</w:t>
      </w:r>
      <w:r w:rsidR="00F90BE9">
        <w:t>.</w:t>
      </w:r>
      <w:r w:rsidRPr="00E564A4">
        <w:t xml:space="preserve"> </w:t>
      </w:r>
      <w:r w:rsidR="00B92F56" w:rsidRPr="00E564A4">
        <w:t>Obligationenrecht I. Art. 1–529 OR,</w:t>
      </w:r>
      <w:r w:rsidRPr="00E564A4">
        <w:t xml:space="preserve"> 7.</w:t>
      </w:r>
      <w:r w:rsidR="00F90BE9">
        <w:t> </w:t>
      </w:r>
      <w:r w:rsidRPr="00E564A4">
        <w:t>Aufl., Basel 2020</w:t>
      </w:r>
      <w:r w:rsidR="00341922" w:rsidRPr="00E564A4">
        <w:t>.</w:t>
      </w:r>
    </w:p>
    <w:p w14:paraId="37BE73A9" w14:textId="2A2C84B1" w:rsidR="007D6C51" w:rsidRDefault="007D6C51" w:rsidP="005020D4">
      <w:pPr>
        <w:pStyle w:val="LiteraturAufzaehlung"/>
      </w:pPr>
      <w:r>
        <w:t>Schweizerisches Obligationenrecht. Besonderer Teil, 10. Aufl., Bern 2017.</w:t>
      </w:r>
    </w:p>
    <w:p w14:paraId="35674CD6" w14:textId="5471A230" w:rsidR="007D6C51" w:rsidRDefault="007D6C51" w:rsidP="005020D4">
      <w:pPr>
        <w:pStyle w:val="LiteraturAufzaehlung"/>
      </w:pPr>
      <w:r>
        <w:t>Die Haftung für Auskunft und Gutachten, insbesondere gegenüber Dritten, in: Robert Waldburger u.a. (Hrsg.), Wirtschaftsrecht zu Beginn des 21. Jahrhundert</w:t>
      </w:r>
      <w:r w:rsidRPr="008C4507">
        <w:t>s. Festschrift für Peter Nobel zum 60. Geburtstag, Bern 2005, S. 939</w:t>
      </w:r>
      <w:r w:rsidR="00D62E6B">
        <w:t>–</w:t>
      </w:r>
      <w:r w:rsidR="008C4507" w:rsidRPr="008C4507">
        <w:t>957</w:t>
      </w:r>
      <w:r w:rsidRPr="008C4507">
        <w:t>.</w:t>
      </w:r>
    </w:p>
    <w:p w14:paraId="0028D270" w14:textId="49B6011E" w:rsidR="00586616" w:rsidRDefault="00586616" w:rsidP="0062535D">
      <w:pPr>
        <w:pStyle w:val="Literatur"/>
      </w:pPr>
      <w:r>
        <w:rPr>
          <w:smallCaps/>
        </w:rPr>
        <w:t>Huguenin Claire</w:t>
      </w:r>
      <w:r>
        <w:t>, Obligationenrecht. Allgemeiner und Besonderer Teil, 3. Aufl., Zürich u.a. 2019.</w:t>
      </w:r>
    </w:p>
    <w:p w14:paraId="1571A38A" w14:textId="57AE98B5" w:rsidR="0095093C" w:rsidRPr="00E564A4" w:rsidRDefault="0095093C" w:rsidP="0062535D">
      <w:pPr>
        <w:pStyle w:val="Literatur"/>
      </w:pPr>
      <w:r w:rsidRPr="00E564A4">
        <w:rPr>
          <w:smallCaps/>
        </w:rPr>
        <w:t>Hurni Christoph,</w:t>
      </w:r>
      <w:r w:rsidRPr="00E564A4">
        <w:t xml:space="preserve"> Art. 52</w:t>
      </w:r>
      <w:r w:rsidR="00A42804" w:rsidRPr="00E564A4">
        <w:t>, 54 und 61</w:t>
      </w:r>
      <w:r w:rsidRPr="00E564A4">
        <w:t xml:space="preserve"> ZPO, </w:t>
      </w:r>
      <w:r w:rsidR="00A42804" w:rsidRPr="00E564A4">
        <w:t>in: Heinz Hausheer/Hans Peter Walter (Hrsg.), Berner Kommentar zum schweizerischen Privatrecht. Zivilprozessordnung. Art. 1–149 ZPO, Bern 2012.</w:t>
      </w:r>
    </w:p>
    <w:p w14:paraId="08FBA88F" w14:textId="451BDCAF" w:rsidR="003C01D7" w:rsidRDefault="003C01D7" w:rsidP="0062535D">
      <w:pPr>
        <w:pStyle w:val="Literatur"/>
      </w:pPr>
      <w:r w:rsidRPr="00EC3680">
        <w:rPr>
          <w:smallCaps/>
        </w:rPr>
        <w:t>Jäggi Peter/Gauch Peter/Hartmann Stephan</w:t>
      </w:r>
      <w:r w:rsidRPr="00EC3680">
        <w:t xml:space="preserve">, </w:t>
      </w:r>
      <w:r w:rsidR="008E326E" w:rsidRPr="00EC3680">
        <w:t xml:space="preserve">Zürcher </w:t>
      </w:r>
      <w:r w:rsidRPr="00EC3680">
        <w:t>Kommentar</w:t>
      </w:r>
      <w:r w:rsidR="00765EF4">
        <w:t>.</w:t>
      </w:r>
      <w:r w:rsidRPr="00EC3680">
        <w:t xml:space="preserve"> Obligationenrecht. </w:t>
      </w:r>
      <w:r w:rsidR="004539F9" w:rsidRPr="00E564A4">
        <w:t>Art. 18 OR</w:t>
      </w:r>
      <w:r w:rsidR="004539F9">
        <w:t>,</w:t>
      </w:r>
      <w:r w:rsidR="004539F9" w:rsidRPr="00E564A4">
        <w:t xml:space="preserve"> </w:t>
      </w:r>
      <w:r w:rsidR="008E326E" w:rsidRPr="00E564A4">
        <w:t xml:space="preserve">Auslegung, Ergänzung und Anpassung der </w:t>
      </w:r>
      <w:proofErr w:type="spellStart"/>
      <w:r w:rsidR="008E326E" w:rsidRPr="00E564A4">
        <w:t>Verträge</w:t>
      </w:r>
      <w:proofErr w:type="spellEnd"/>
      <w:r w:rsidR="008E326E" w:rsidRPr="00E564A4">
        <w:t>; Simulation</w:t>
      </w:r>
      <w:r w:rsidR="00F90BE9">
        <w:t>,</w:t>
      </w:r>
      <w:r w:rsidR="008E326E" w:rsidRPr="00E564A4">
        <w:t xml:space="preserve"> hrsg. von Jörg Schmid, </w:t>
      </w:r>
      <w:r w:rsidRPr="00E564A4">
        <w:t xml:space="preserve">4. Aufl., </w:t>
      </w:r>
      <w:r w:rsidRPr="00B43B2D">
        <w:t>Zürich 2014</w:t>
      </w:r>
      <w:r w:rsidR="00162EC7" w:rsidRPr="00B43B2D">
        <w:t>.</w:t>
      </w:r>
    </w:p>
    <w:p w14:paraId="1A05B280" w14:textId="2388568D" w:rsidR="00483AEE" w:rsidRPr="00E564A4" w:rsidRDefault="00483AEE" w:rsidP="00483AEE">
      <w:pPr>
        <w:pStyle w:val="Literatur"/>
      </w:pPr>
      <w:r w:rsidRPr="00E564A4">
        <w:rPr>
          <w:smallCaps/>
        </w:rPr>
        <w:t>Jeandin Nicolas</w:t>
      </w:r>
      <w:r w:rsidRPr="00E564A4">
        <w:t>, Art. 343 ZPO, in: Fran</w:t>
      </w:r>
      <w:r w:rsidRPr="00E564A4">
        <w:rPr>
          <w:lang w:val="de-DE"/>
        </w:rPr>
        <w:t>ç</w:t>
      </w:r>
      <w:proofErr w:type="spellStart"/>
      <w:r w:rsidRPr="00E564A4">
        <w:t>ois</w:t>
      </w:r>
      <w:proofErr w:type="spellEnd"/>
      <w:r w:rsidRPr="00E564A4">
        <w:t xml:space="preserve"> </w:t>
      </w:r>
      <w:proofErr w:type="spellStart"/>
      <w:r w:rsidRPr="00E564A4">
        <w:rPr>
          <w:lang w:val="fr-CH"/>
        </w:rPr>
        <w:t>Bohnet</w:t>
      </w:r>
      <w:proofErr w:type="spellEnd"/>
      <w:r w:rsidRPr="00E564A4">
        <w:rPr>
          <w:lang w:val="fr-CH"/>
        </w:rPr>
        <w:t xml:space="preserve"> </w:t>
      </w:r>
      <w:proofErr w:type="spellStart"/>
      <w:r w:rsidRPr="00E564A4">
        <w:rPr>
          <w:lang w:val="fr-CH"/>
        </w:rPr>
        <w:t>u.a</w:t>
      </w:r>
      <w:proofErr w:type="spellEnd"/>
      <w:r w:rsidRPr="00E564A4">
        <w:rPr>
          <w:lang w:val="fr-CH"/>
        </w:rPr>
        <w:t>. (</w:t>
      </w:r>
      <w:proofErr w:type="spellStart"/>
      <w:r w:rsidRPr="00E564A4">
        <w:rPr>
          <w:lang w:val="fr-CH"/>
        </w:rPr>
        <w:t>Hrsg</w:t>
      </w:r>
      <w:proofErr w:type="spellEnd"/>
      <w:r w:rsidRPr="00E564A4">
        <w:rPr>
          <w:lang w:val="fr-CH"/>
        </w:rPr>
        <w:t>.), Code de procédure civile commenté (CPC), Basel 2011.</w:t>
      </w:r>
    </w:p>
    <w:p w14:paraId="24EBE2B7" w14:textId="71312958" w:rsidR="00D8084E" w:rsidRPr="00E564A4" w:rsidRDefault="00D8084E" w:rsidP="0062535D">
      <w:pPr>
        <w:pStyle w:val="Literatur"/>
      </w:pPr>
      <w:r w:rsidRPr="00E564A4">
        <w:rPr>
          <w:smallCaps/>
        </w:rPr>
        <w:t>Jeandin Nicolas</w:t>
      </w:r>
      <w:r w:rsidR="000A70D7" w:rsidRPr="00E564A4">
        <w:rPr>
          <w:smallCaps/>
        </w:rPr>
        <w:t>/Hulliger Lyuska</w:t>
      </w:r>
      <w:r w:rsidRPr="00E564A4">
        <w:t xml:space="preserve">, </w:t>
      </w:r>
      <w:r w:rsidR="000A70D7" w:rsidRPr="00E564A4">
        <w:t xml:space="preserve">Art. 121 CO, in: Luc Thévenoz/Franz Werro (Hrsg.), </w:t>
      </w:r>
      <w:r w:rsidRPr="00E564A4">
        <w:t>Commentaire Romand</w:t>
      </w:r>
      <w:r w:rsidR="000A70D7" w:rsidRPr="00E564A4">
        <w:t>.</w:t>
      </w:r>
      <w:r w:rsidR="00D647E6" w:rsidRPr="00E564A4">
        <w:t xml:space="preserve"> Code des obligations I, </w:t>
      </w:r>
      <w:r w:rsidR="000A70D7" w:rsidRPr="00E564A4">
        <w:t>3</w:t>
      </w:r>
      <w:r w:rsidRPr="00E564A4">
        <w:t>. Aufl., Basel 20</w:t>
      </w:r>
      <w:r w:rsidR="000A70D7" w:rsidRPr="00E564A4">
        <w:t>21</w:t>
      </w:r>
      <w:r w:rsidRPr="00E564A4">
        <w:t>.</w:t>
      </w:r>
    </w:p>
    <w:p w14:paraId="119BF1E9" w14:textId="3E76E802" w:rsidR="00162EC7" w:rsidRDefault="00162EC7" w:rsidP="0062535D">
      <w:pPr>
        <w:pStyle w:val="Literatur"/>
      </w:pPr>
      <w:r w:rsidRPr="00E564A4">
        <w:rPr>
          <w:smallCaps/>
        </w:rPr>
        <w:t xml:space="preserve">Keller Roland, </w:t>
      </w:r>
      <w:r w:rsidRPr="00E564A4">
        <w:t>Anwendungsfälle</w:t>
      </w:r>
      <w:r>
        <w:t xml:space="preserve"> der Drittschadensliquidation und des Vertrages mit Schutzwirkung zugunsten Dritter unter besonderer Berücksichtigung des englischen Rechts, Diss. Zürich 2004.</w:t>
      </w:r>
    </w:p>
    <w:p w14:paraId="710530D7" w14:textId="177F79E3" w:rsidR="00495B39" w:rsidRDefault="00495B39" w:rsidP="0062535D">
      <w:pPr>
        <w:pStyle w:val="Literatur"/>
      </w:pPr>
      <w:r w:rsidRPr="00495B39">
        <w:rPr>
          <w:smallCaps/>
        </w:rPr>
        <w:t>Klett Barbara</w:t>
      </w:r>
      <w:r>
        <w:rPr>
          <w:i/>
        </w:rPr>
        <w:t>,</w:t>
      </w:r>
      <w:r>
        <w:t xml:space="preserve"> Der Nutzungsausfall als Schadensposition, HAVE 2012, </w:t>
      </w:r>
      <w:r w:rsidRPr="001959F8">
        <w:t>S.</w:t>
      </w:r>
      <w:r w:rsidR="008A3E3F" w:rsidRPr="001959F8">
        <w:t> </w:t>
      </w:r>
      <w:r w:rsidRPr="001959F8">
        <w:t>377</w:t>
      </w:r>
      <w:r w:rsidR="006F104B" w:rsidRPr="001959F8">
        <w:t>–384</w:t>
      </w:r>
      <w:r w:rsidRPr="001959F8">
        <w:t>.</w:t>
      </w:r>
    </w:p>
    <w:p w14:paraId="5B86E7A4" w14:textId="1073C346" w:rsidR="005E4805" w:rsidRDefault="005E4805" w:rsidP="0062535D">
      <w:pPr>
        <w:pStyle w:val="Literatur"/>
      </w:pPr>
      <w:r w:rsidRPr="00762B81">
        <w:rPr>
          <w:smallCaps/>
        </w:rPr>
        <w:t>Koller Alfred</w:t>
      </w:r>
      <w:r>
        <w:rPr>
          <w:i/>
        </w:rPr>
        <w:t>,</w:t>
      </w:r>
      <w:r>
        <w:t xml:space="preserve"> Vertragslücken und deren Füllung, AJP </w:t>
      </w:r>
      <w:r w:rsidRPr="004539F9">
        <w:t xml:space="preserve">2019, </w:t>
      </w:r>
      <w:r w:rsidRPr="001959F8">
        <w:t>S. 1112</w:t>
      </w:r>
      <w:r w:rsidR="006F104B" w:rsidRPr="001959F8">
        <w:t>–1117</w:t>
      </w:r>
      <w:r w:rsidRPr="001959F8">
        <w:t>.</w:t>
      </w:r>
    </w:p>
    <w:p w14:paraId="16F00CC4" w14:textId="441704AF" w:rsidR="005E4805" w:rsidRDefault="005E4805" w:rsidP="005020D4">
      <w:pPr>
        <w:pStyle w:val="LiteraturAufzaehlung"/>
      </w:pPr>
      <w:r>
        <w:t xml:space="preserve">Unterbrechung der Verjährung, </w:t>
      </w:r>
      <w:r w:rsidRPr="00B850BF">
        <w:t>SJZ 2017</w:t>
      </w:r>
      <w:r w:rsidRPr="004539F9">
        <w:t xml:space="preserve">, </w:t>
      </w:r>
      <w:r w:rsidRPr="001959F8">
        <w:t>S. 201</w:t>
      </w:r>
      <w:r w:rsidR="006F104B" w:rsidRPr="001959F8">
        <w:t>–213</w:t>
      </w:r>
      <w:r w:rsidRPr="001959F8">
        <w:t>.</w:t>
      </w:r>
    </w:p>
    <w:p w14:paraId="502FB115" w14:textId="26622A1F" w:rsidR="005E4805" w:rsidRDefault="005E4805" w:rsidP="005020D4">
      <w:pPr>
        <w:pStyle w:val="LiteraturAufzaehlung"/>
      </w:pPr>
      <w:r>
        <w:t>Schweizerisches Obligationenrecht. Allgemeiner Teil. Handbuch des allgemeinen Schuldrechts, 4. Aufl., Bern 2017.</w:t>
      </w:r>
    </w:p>
    <w:p w14:paraId="6A1669EC" w14:textId="75CBF421" w:rsidR="005E4805" w:rsidRPr="00E564A4" w:rsidRDefault="005E4805" w:rsidP="005020D4">
      <w:pPr>
        <w:pStyle w:val="LiteraturAufzaehlung"/>
      </w:pPr>
      <w:r w:rsidRPr="00E564A4">
        <w:t>Schweizerisches Werksvertragsrecht, Zürich/St. Gallen 2015.</w:t>
      </w:r>
    </w:p>
    <w:p w14:paraId="35039A64" w14:textId="4DA8D48B" w:rsidR="003C06B8" w:rsidRPr="00E564A4" w:rsidRDefault="00D938F3" w:rsidP="0062535D">
      <w:pPr>
        <w:pStyle w:val="Literatur"/>
      </w:pPr>
      <w:r w:rsidRPr="00E564A4">
        <w:rPr>
          <w:smallCaps/>
        </w:rPr>
        <w:t>Müller Christoph</w:t>
      </w:r>
      <w:r w:rsidRPr="00E564A4">
        <w:t xml:space="preserve">, </w:t>
      </w:r>
      <w:r w:rsidR="008A16FD" w:rsidRPr="00E564A4">
        <w:t xml:space="preserve">Berner </w:t>
      </w:r>
      <w:r w:rsidR="00E80439" w:rsidRPr="00E564A4">
        <w:t>Kommentar zum schweizerischen Privatrecht</w:t>
      </w:r>
      <w:r w:rsidR="008A16FD" w:rsidRPr="00E564A4">
        <w:t>.</w:t>
      </w:r>
      <w:r w:rsidR="00E80439" w:rsidRPr="00E564A4">
        <w:t xml:space="preserve"> </w:t>
      </w:r>
      <w:r w:rsidRPr="00E564A4">
        <w:t>Obligationenrecht. Allgemeine Bestimmungen</w:t>
      </w:r>
      <w:r w:rsidR="008A16FD" w:rsidRPr="00E564A4">
        <w:t>.</w:t>
      </w:r>
      <w:r w:rsidRPr="00E564A4">
        <w:t xml:space="preserve"> Art. 1–18 OR mit allgemeiner Einleitung in das </w:t>
      </w:r>
      <w:proofErr w:type="gramStart"/>
      <w:r w:rsidRPr="00E564A4">
        <w:t>Schweizerische</w:t>
      </w:r>
      <w:proofErr w:type="gramEnd"/>
      <w:r w:rsidRPr="00E564A4">
        <w:t xml:space="preserve"> Obligationenrecht, hrsg. von Regina E. Aebi-Müller/Christoph Müller, Bern 2018</w:t>
      </w:r>
      <w:r w:rsidR="008A16FD" w:rsidRPr="00E564A4">
        <w:t>.</w:t>
      </w:r>
    </w:p>
    <w:p w14:paraId="410F0FFE" w14:textId="64DF9BA2" w:rsidR="00BB3F2E" w:rsidRDefault="00BB3F2E" w:rsidP="0062535D">
      <w:pPr>
        <w:pStyle w:val="Literatur"/>
      </w:pPr>
      <w:r w:rsidRPr="00E564A4">
        <w:rPr>
          <w:smallCaps/>
        </w:rPr>
        <w:t>Rey Heinz/Wildhaber</w:t>
      </w:r>
      <w:r>
        <w:rPr>
          <w:smallCaps/>
        </w:rPr>
        <w:t xml:space="preserve"> Isabelle, </w:t>
      </w:r>
      <w:r>
        <w:t>Ausservertragliches Haftpflichtrecht, 5. Aufl., Zürich 2018.</w:t>
      </w:r>
    </w:p>
    <w:p w14:paraId="25E92018" w14:textId="7F342A69" w:rsidR="00164D20" w:rsidRDefault="00164D20" w:rsidP="0062535D">
      <w:pPr>
        <w:pStyle w:val="Literatur"/>
      </w:pPr>
      <w:r w:rsidRPr="00164D20">
        <w:rPr>
          <w:smallCaps/>
        </w:rPr>
        <w:lastRenderedPageBreak/>
        <w:t>Roberto Vito</w:t>
      </w:r>
      <w:r>
        <w:rPr>
          <w:i/>
        </w:rPr>
        <w:t xml:space="preserve">, </w:t>
      </w:r>
      <w:r>
        <w:t xml:space="preserve">Ersatzpflicht für verdorbenen Feriengenuss, HAVE 2016, </w:t>
      </w:r>
      <w:r w:rsidRPr="001959F8">
        <w:t>S.</w:t>
      </w:r>
      <w:r w:rsidR="008A3E3F" w:rsidRPr="001959F8">
        <w:t> </w:t>
      </w:r>
      <w:r w:rsidRPr="001959F8">
        <w:t>276</w:t>
      </w:r>
      <w:r w:rsidR="00C15C55" w:rsidRPr="001959F8">
        <w:t>–279</w:t>
      </w:r>
      <w:r w:rsidRPr="001959F8">
        <w:t>.</w:t>
      </w:r>
    </w:p>
    <w:p w14:paraId="73DFC1B6" w14:textId="6EFF69CE" w:rsidR="006C1A15" w:rsidRDefault="006C1A15" w:rsidP="0062535D">
      <w:pPr>
        <w:pStyle w:val="Literatur"/>
      </w:pPr>
      <w:r w:rsidRPr="00492A41">
        <w:rPr>
          <w:smallCaps/>
          <w:spacing w:val="-2"/>
        </w:rPr>
        <w:t>Rusch Arnold F</w:t>
      </w:r>
      <w:r w:rsidRPr="00C15C55">
        <w:rPr>
          <w:iCs/>
          <w:spacing w:val="-2"/>
        </w:rPr>
        <w:t xml:space="preserve">., </w:t>
      </w:r>
      <w:r>
        <w:rPr>
          <w:spacing w:val="-2"/>
        </w:rPr>
        <w:t xml:space="preserve">Dienstbarkeiten mit </w:t>
      </w:r>
      <w:r w:rsidRPr="00C3716C">
        <w:rPr>
          <w:spacing w:val="-2"/>
        </w:rPr>
        <w:t>Ausübungsbedingungen</w:t>
      </w:r>
      <w:r w:rsidR="00C3716C">
        <w:rPr>
          <w:spacing w:val="-2"/>
        </w:rPr>
        <w:t>.</w:t>
      </w:r>
      <w:r w:rsidRPr="00C3716C">
        <w:rPr>
          <w:spacing w:val="-2"/>
        </w:rPr>
        <w:t xml:space="preserve"> Bedingungen zur</w:t>
      </w:r>
      <w:r>
        <w:rPr>
          <w:spacing w:val="-2"/>
        </w:rPr>
        <w:t xml:space="preserve"> Sicherstellung einmaliger und wiederkehrender Leistungen, </w:t>
      </w:r>
      <w:r w:rsidRPr="00B850BF">
        <w:rPr>
          <w:spacing w:val="-2"/>
        </w:rPr>
        <w:t>ZBGR 2017</w:t>
      </w:r>
      <w:r>
        <w:rPr>
          <w:spacing w:val="-2"/>
        </w:rPr>
        <w:t xml:space="preserve">, </w:t>
      </w:r>
      <w:r w:rsidRPr="001959F8">
        <w:rPr>
          <w:spacing w:val="-2"/>
        </w:rPr>
        <w:t>S.</w:t>
      </w:r>
      <w:r w:rsidR="00E213F4" w:rsidRPr="001959F8">
        <w:rPr>
          <w:spacing w:val="-2"/>
        </w:rPr>
        <w:t> </w:t>
      </w:r>
      <w:r w:rsidRPr="001959F8">
        <w:rPr>
          <w:spacing w:val="-2"/>
        </w:rPr>
        <w:t>84</w:t>
      </w:r>
      <w:r w:rsidR="00C15C55" w:rsidRPr="001959F8">
        <w:rPr>
          <w:spacing w:val="-2"/>
        </w:rPr>
        <w:t>–91</w:t>
      </w:r>
      <w:r w:rsidRPr="001959F8">
        <w:rPr>
          <w:spacing w:val="-2"/>
        </w:rPr>
        <w:t>.</w:t>
      </w:r>
    </w:p>
    <w:p w14:paraId="20E60A2B" w14:textId="37BA3CE4" w:rsidR="001F62FF" w:rsidRDefault="001F62FF" w:rsidP="005020D4">
      <w:pPr>
        <w:pStyle w:val="LiteraturAufzaehlung"/>
      </w:pPr>
      <w:r>
        <w:t>Rechtsscheinlehre in der Schweiz (Habil. Zürich), Zürich 2010.</w:t>
      </w:r>
    </w:p>
    <w:p w14:paraId="546F9415" w14:textId="12985ED9" w:rsidR="00D53E13" w:rsidRDefault="00D53E13" w:rsidP="0062535D">
      <w:pPr>
        <w:pStyle w:val="Literatur"/>
      </w:pPr>
      <w:r w:rsidRPr="00D53E13">
        <w:rPr>
          <w:smallCaps/>
        </w:rPr>
        <w:t>Schmid Jörg</w:t>
      </w:r>
      <w:r>
        <w:rPr>
          <w:i/>
        </w:rPr>
        <w:t>,</w:t>
      </w:r>
      <w:r>
        <w:t xml:space="preserve"> Die Globalübernahme von Allgemeinen Geschäftsbedingungen bei Konsumentenverträgen</w:t>
      </w:r>
      <w:r w:rsidR="00C15C55">
        <w:t>. Nicht gelesene AGB im Lichte von Konsens und Vertrauensprinzip</w:t>
      </w:r>
      <w:r w:rsidRPr="00D53E13">
        <w:rPr>
          <w:i/>
          <w:iCs/>
        </w:rPr>
        <w:t xml:space="preserve">, </w:t>
      </w:r>
      <w:r w:rsidRPr="00D53E13">
        <w:rPr>
          <w:rStyle w:val="Kursiv"/>
          <w:i w:val="0"/>
          <w:iCs/>
        </w:rPr>
        <w:t>in: Susan Emmenegger u.a. (Hrsg.), Brücken bauen. Festschrift für Thomas Koller, Bern 2018</w:t>
      </w:r>
      <w:r w:rsidRPr="004539F9">
        <w:rPr>
          <w:rStyle w:val="Kursiv"/>
          <w:i w:val="0"/>
          <w:iCs/>
        </w:rPr>
        <w:t xml:space="preserve">, </w:t>
      </w:r>
      <w:r w:rsidRPr="001959F8">
        <w:rPr>
          <w:rStyle w:val="Kursiv"/>
          <w:i w:val="0"/>
          <w:iCs/>
        </w:rPr>
        <w:t>S. 851</w:t>
      </w:r>
      <w:r w:rsidR="00C15C55" w:rsidRPr="001959F8">
        <w:rPr>
          <w:rStyle w:val="Kursiv"/>
          <w:i w:val="0"/>
          <w:iCs/>
        </w:rPr>
        <w:t>–866</w:t>
      </w:r>
      <w:r w:rsidRPr="001959F8">
        <w:rPr>
          <w:rStyle w:val="Kursiv"/>
          <w:i w:val="0"/>
          <w:iCs/>
        </w:rPr>
        <w:t>.</w:t>
      </w:r>
    </w:p>
    <w:p w14:paraId="39943CDF" w14:textId="55267F56" w:rsidR="00A65522" w:rsidRDefault="00A65522" w:rsidP="0062535D">
      <w:pPr>
        <w:pStyle w:val="Literatur"/>
        <w:rPr>
          <w:smallCaps/>
        </w:rPr>
      </w:pPr>
      <w:r>
        <w:rPr>
          <w:smallCaps/>
        </w:rPr>
        <w:t>Schmid Jörg/Hürlimann-Kaup Bettina</w:t>
      </w:r>
      <w:r>
        <w:t>, Sachenrecht, 5. Auflage, Zürich u.a.</w:t>
      </w:r>
      <w:r>
        <w:rPr>
          <w:smallCaps/>
        </w:rPr>
        <w:t xml:space="preserve"> 2017.</w:t>
      </w:r>
    </w:p>
    <w:p w14:paraId="03AAA098" w14:textId="63184CD2" w:rsidR="00264CAA" w:rsidRDefault="00264CAA" w:rsidP="0062535D">
      <w:pPr>
        <w:pStyle w:val="Literatur"/>
        <w:rPr>
          <w:color w:val="000000" w:themeColor="text1"/>
        </w:rPr>
      </w:pPr>
      <w:r>
        <w:rPr>
          <w:smallCaps/>
          <w:color w:val="000000" w:themeColor="text1"/>
        </w:rPr>
        <w:t xml:space="preserve">Schmid Jörg/Stöckli Hubert/Krauskopf Frédéric, </w:t>
      </w:r>
      <w:proofErr w:type="gramStart"/>
      <w:r>
        <w:rPr>
          <w:color w:val="000000" w:themeColor="text1"/>
        </w:rPr>
        <w:t>Schweizerisches</w:t>
      </w:r>
      <w:proofErr w:type="gramEnd"/>
      <w:r>
        <w:rPr>
          <w:color w:val="000000" w:themeColor="text1"/>
        </w:rPr>
        <w:t xml:space="preserve"> Obligationenrecht. Besonderer Teil, </w:t>
      </w:r>
      <w:r w:rsidR="00D701AF">
        <w:rPr>
          <w:color w:val="000000" w:themeColor="text1"/>
        </w:rPr>
        <w:t>3</w:t>
      </w:r>
      <w:r>
        <w:rPr>
          <w:color w:val="000000" w:themeColor="text1"/>
        </w:rPr>
        <w:t xml:space="preserve">. </w:t>
      </w:r>
      <w:r>
        <w:t>Aufl.</w:t>
      </w:r>
      <w:r>
        <w:rPr>
          <w:color w:val="000000" w:themeColor="text1"/>
        </w:rPr>
        <w:t xml:space="preserve">, Zürich </w:t>
      </w:r>
      <w:r w:rsidR="00D701AF">
        <w:rPr>
          <w:color w:val="000000" w:themeColor="text1"/>
        </w:rPr>
        <w:t>2021</w:t>
      </w:r>
      <w:r w:rsidR="00EA66FC">
        <w:rPr>
          <w:color w:val="000000" w:themeColor="text1"/>
        </w:rPr>
        <w:t>.</w:t>
      </w:r>
    </w:p>
    <w:p w14:paraId="1586D318" w14:textId="2DCDBA22" w:rsidR="00F83E98" w:rsidRDefault="00F83E98" w:rsidP="0062535D">
      <w:pPr>
        <w:pStyle w:val="Literatur"/>
        <w:rPr>
          <w:color w:val="000000" w:themeColor="text1"/>
        </w:rPr>
      </w:pPr>
      <w:r>
        <w:rPr>
          <w:smallCaps/>
        </w:rPr>
        <w:t xml:space="preserve">Schmiedlin Stefan, </w:t>
      </w:r>
      <w:r>
        <w:t>Frustration of contract und clausula rebus sic stantibus, eine rechtsvergleichende Analyse, Basel/Frankfurt a.M 1985.</w:t>
      </w:r>
    </w:p>
    <w:p w14:paraId="47B4DEF2" w14:textId="35F73565" w:rsidR="00024949" w:rsidRPr="00E564A4" w:rsidRDefault="00024949" w:rsidP="0062535D">
      <w:pPr>
        <w:pStyle w:val="Literatur"/>
      </w:pPr>
      <w:proofErr w:type="spellStart"/>
      <w:r w:rsidRPr="00E564A4">
        <w:rPr>
          <w:smallCaps/>
          <w:spacing w:val="-2"/>
        </w:rPr>
        <w:t>Schraner</w:t>
      </w:r>
      <w:proofErr w:type="spellEnd"/>
      <w:r w:rsidRPr="00E564A4">
        <w:rPr>
          <w:smallCaps/>
          <w:spacing w:val="-2"/>
        </w:rPr>
        <w:t xml:space="preserve"> Marius</w:t>
      </w:r>
      <w:r w:rsidRPr="00E564A4">
        <w:rPr>
          <w:spacing w:val="-2"/>
        </w:rPr>
        <w:t xml:space="preserve">, </w:t>
      </w:r>
      <w:r w:rsidR="000A70D7" w:rsidRPr="00E564A4">
        <w:rPr>
          <w:spacing w:val="-2"/>
        </w:rPr>
        <w:t xml:space="preserve">Zürcher </w:t>
      </w:r>
      <w:r w:rsidRPr="00E564A4">
        <w:rPr>
          <w:spacing w:val="-2"/>
        </w:rPr>
        <w:t>Kommentar</w:t>
      </w:r>
      <w:r w:rsidR="000A70D7" w:rsidRPr="00E564A4">
        <w:rPr>
          <w:spacing w:val="-2"/>
        </w:rPr>
        <w:t>.</w:t>
      </w:r>
      <w:r w:rsidRPr="00E564A4">
        <w:rPr>
          <w:spacing w:val="-2"/>
        </w:rPr>
        <w:t xml:space="preserve"> </w:t>
      </w:r>
      <w:r w:rsidRPr="00E564A4">
        <w:t xml:space="preserve">Obligationenrecht. </w:t>
      </w:r>
      <w:r w:rsidR="00A01297" w:rsidRPr="00E564A4">
        <w:t xml:space="preserve">Die Erfüllung der Obligationen. </w:t>
      </w:r>
      <w:r w:rsidRPr="00E564A4">
        <w:t xml:space="preserve">Art. 68–96 OR, </w:t>
      </w:r>
      <w:r w:rsidR="00A01297" w:rsidRPr="00E564A4">
        <w:t xml:space="preserve">hrsg. von Peter Gauch/Jörg Schmid, </w:t>
      </w:r>
      <w:r w:rsidRPr="00E564A4">
        <w:t>3. Aufl., Zürich 2000</w:t>
      </w:r>
      <w:r w:rsidR="00087A98" w:rsidRPr="00E564A4">
        <w:t>.</w:t>
      </w:r>
    </w:p>
    <w:p w14:paraId="2881B492" w14:textId="3EEB8575" w:rsidR="001269A6" w:rsidRPr="00E564A4" w:rsidRDefault="0037620C" w:rsidP="0062535D">
      <w:pPr>
        <w:pStyle w:val="Literatur"/>
      </w:pPr>
      <w:r w:rsidRPr="00E564A4">
        <w:rPr>
          <w:smallCaps/>
        </w:rPr>
        <w:t>Schwenzer Ingeborg</w:t>
      </w:r>
      <w:r w:rsidR="00B16DFA" w:rsidRPr="00E564A4">
        <w:rPr>
          <w:smallCaps/>
        </w:rPr>
        <w:t>/Fountoulakis Christiana</w:t>
      </w:r>
      <w:r w:rsidRPr="00E564A4">
        <w:rPr>
          <w:smallCaps/>
        </w:rPr>
        <w:t xml:space="preserve">, </w:t>
      </w:r>
      <w:proofErr w:type="gramStart"/>
      <w:r w:rsidRPr="00E564A4">
        <w:t>Schweizerisches</w:t>
      </w:r>
      <w:proofErr w:type="gramEnd"/>
      <w:r w:rsidRPr="00E564A4">
        <w:t xml:space="preserve"> Obligationenrecht. Allgemeiner Teil, </w:t>
      </w:r>
      <w:r w:rsidR="00B16DFA" w:rsidRPr="00E564A4">
        <w:t>8</w:t>
      </w:r>
      <w:r w:rsidRPr="00E564A4">
        <w:t>. Aufl., Bern </w:t>
      </w:r>
      <w:r w:rsidR="00B16DFA" w:rsidRPr="00E564A4">
        <w:t>2020</w:t>
      </w:r>
      <w:r w:rsidRPr="00E564A4">
        <w:t>.</w:t>
      </w:r>
    </w:p>
    <w:p w14:paraId="5FBB1273" w14:textId="26C7F877" w:rsidR="005504F6" w:rsidRPr="00E564A4" w:rsidRDefault="005504F6" w:rsidP="0062535D">
      <w:pPr>
        <w:pStyle w:val="Literatur"/>
      </w:pPr>
      <w:r w:rsidRPr="00E564A4">
        <w:rPr>
          <w:smallCaps/>
        </w:rPr>
        <w:t>Staehelin Adrian/Staehelin Daniel/Grolimund Pascal</w:t>
      </w:r>
      <w:r w:rsidRPr="00E564A4">
        <w:t>, Zivilprozessrecht unter Einbezug des Anwaltsrechts und des internationalen Zivilprozessrechts, 3. Aufl., Zürich/Basel 2019.</w:t>
      </w:r>
    </w:p>
    <w:p w14:paraId="228F63D5" w14:textId="7331777C" w:rsidR="00B20515" w:rsidRPr="00E564A4" w:rsidRDefault="00B20515" w:rsidP="0062535D">
      <w:pPr>
        <w:pStyle w:val="Literatur"/>
      </w:pPr>
      <w:r w:rsidRPr="00E564A4">
        <w:rPr>
          <w:smallCaps/>
        </w:rPr>
        <w:t xml:space="preserve">Sutter-Somm Thomas, </w:t>
      </w:r>
      <w:r w:rsidRPr="00E564A4">
        <w:t>Schweizerisches Zivilprozessrecht, 3. Aufl., Zürich u.a. 2017.</w:t>
      </w:r>
    </w:p>
    <w:p w14:paraId="074C81DA" w14:textId="63E411CE" w:rsidR="007C26B4" w:rsidRPr="00E564A4" w:rsidRDefault="007C26B4" w:rsidP="0062535D">
      <w:pPr>
        <w:pStyle w:val="Literatur"/>
      </w:pPr>
      <w:proofErr w:type="spellStart"/>
      <w:r w:rsidRPr="00E564A4">
        <w:rPr>
          <w:smallCaps/>
          <w:lang w:val="fr-CH"/>
        </w:rPr>
        <w:t>Tercier</w:t>
      </w:r>
      <w:proofErr w:type="spellEnd"/>
      <w:r w:rsidRPr="00E564A4">
        <w:rPr>
          <w:smallCaps/>
          <w:lang w:val="fr-CH"/>
        </w:rPr>
        <w:t xml:space="preserve"> Pierre/</w:t>
      </w:r>
      <w:proofErr w:type="spellStart"/>
      <w:r w:rsidRPr="00E564A4">
        <w:rPr>
          <w:smallCaps/>
          <w:lang w:val="fr-CH"/>
        </w:rPr>
        <w:t>Pichonnaz</w:t>
      </w:r>
      <w:proofErr w:type="spellEnd"/>
      <w:r w:rsidRPr="00E564A4">
        <w:rPr>
          <w:smallCaps/>
          <w:lang w:val="fr-CH"/>
        </w:rPr>
        <w:t xml:space="preserve"> Pascal, </w:t>
      </w:r>
      <w:r w:rsidRPr="00E564A4">
        <w:rPr>
          <w:lang w:val="fr-CH"/>
        </w:rPr>
        <w:t xml:space="preserve">Le droit des obligations, 6. </w:t>
      </w:r>
      <w:r w:rsidRPr="00E564A4">
        <w:t>Aufl., Genf u.a. 2019.</w:t>
      </w:r>
    </w:p>
    <w:p w14:paraId="328B7C81" w14:textId="64DD0126" w:rsidR="00F30FF7" w:rsidRPr="00E564A4" w:rsidRDefault="00F30FF7" w:rsidP="0062535D">
      <w:pPr>
        <w:pStyle w:val="Literatur"/>
      </w:pPr>
      <w:r w:rsidRPr="00E564A4">
        <w:rPr>
          <w:smallCaps/>
        </w:rPr>
        <w:t xml:space="preserve">Thier Andreas, </w:t>
      </w:r>
      <w:r w:rsidR="002253A9" w:rsidRPr="00E564A4">
        <w:t xml:space="preserve">Art. 99 OR, in: Heinrich Honsell (Hrsg.), </w:t>
      </w:r>
      <w:r w:rsidRPr="00E564A4">
        <w:t>Kurzkommentar Obligationenrecht (OR),</w:t>
      </w:r>
      <w:r w:rsidR="00301D84" w:rsidRPr="00E564A4">
        <w:t xml:space="preserve"> </w:t>
      </w:r>
      <w:r w:rsidRPr="00E564A4">
        <w:t>Basel 2014</w:t>
      </w:r>
      <w:r w:rsidR="008A16FD" w:rsidRPr="00E564A4">
        <w:t>.</w:t>
      </w:r>
    </w:p>
    <w:p w14:paraId="5EA44DD7" w14:textId="3AC76F90" w:rsidR="0042080F" w:rsidRPr="00E564A4" w:rsidRDefault="0042080F" w:rsidP="0062535D">
      <w:pPr>
        <w:pStyle w:val="Literatur"/>
      </w:pPr>
      <w:r w:rsidRPr="00E564A4">
        <w:rPr>
          <w:smallCaps/>
        </w:rPr>
        <w:t>Tuor Peter</w:t>
      </w:r>
      <w:r w:rsidR="00C80EEA" w:rsidRPr="00E564A4">
        <w:t xml:space="preserve"> u.a.</w:t>
      </w:r>
      <w:r w:rsidRPr="00E564A4">
        <w:t>, Das Schweizerische Zivilgesetzbuch, 14. Aufl., Zürich u.a. 2015.</w:t>
      </w:r>
    </w:p>
    <w:p w14:paraId="31FC5946" w14:textId="2FEF2CC4" w:rsidR="00024949" w:rsidRDefault="002253A9" w:rsidP="0062535D">
      <w:pPr>
        <w:pStyle w:val="Literatur"/>
      </w:pPr>
      <w:r w:rsidRPr="00E564A4">
        <w:rPr>
          <w:smallCaps/>
        </w:rPr>
        <w:t>Weber Rolf H./Emmenegger Susan</w:t>
      </w:r>
      <w:r w:rsidRPr="00E564A4">
        <w:t>, Berner Kommentar zum schweizerischen Privatrecht. Obligationenrecht. Allgemeine Bestimmungen. Die Folgen der Nichterfüllung. Art. 97–109 OR, hrsg. von Regina Aebi-Müller/Christoph Müller, Bern 2020.</w:t>
      </w:r>
    </w:p>
    <w:p w14:paraId="5EC45244" w14:textId="27218C51" w:rsidR="00B0778E" w:rsidRDefault="00B0778E" w:rsidP="0062535D">
      <w:pPr>
        <w:pStyle w:val="Literatur"/>
        <w:rPr>
          <w:smallCaps/>
        </w:rPr>
      </w:pPr>
      <w:r>
        <w:rPr>
          <w:smallCaps/>
        </w:rPr>
        <w:t>Werro Franz</w:t>
      </w:r>
      <w:r>
        <w:t>, La responsabilité civile, 3. Aufl., Bern 2017.</w:t>
      </w:r>
    </w:p>
    <w:p w14:paraId="7C0F372D" w14:textId="77777777" w:rsidR="00587619" w:rsidRPr="00D57D51" w:rsidRDefault="00587619" w:rsidP="00F51BE4">
      <w:pPr>
        <w:tabs>
          <w:tab w:val="clear" w:pos="397"/>
        </w:tabs>
        <w:spacing w:after="200" w:line="288" w:lineRule="auto"/>
        <w:contextualSpacing/>
        <w:jc w:val="left"/>
        <w:rPr>
          <w:rFonts w:cs="Times New Roman"/>
          <w:sz w:val="22"/>
        </w:rPr>
      </w:pPr>
      <w:r w:rsidRPr="00D57D51">
        <w:rPr>
          <w:rFonts w:cs="Times New Roman"/>
        </w:rPr>
        <w:br w:type="page"/>
      </w:r>
    </w:p>
    <w:p w14:paraId="6EC4A940" w14:textId="4A79EEF6" w:rsidR="00587619" w:rsidRPr="00D57D51" w:rsidRDefault="00587619" w:rsidP="00F51BE4">
      <w:pPr>
        <w:pStyle w:val="Verzeichnistitel"/>
        <w:spacing w:line="288" w:lineRule="auto"/>
        <w:contextualSpacing/>
        <w:rPr>
          <w:rFonts w:ascii="Times New Roman" w:hAnsi="Times New Roman" w:cs="Times New Roman"/>
        </w:rPr>
      </w:pPr>
      <w:bookmarkStart w:id="7" w:name="_Toc97043959"/>
      <w:r w:rsidRPr="00D57D51">
        <w:rPr>
          <w:rFonts w:ascii="Times New Roman" w:hAnsi="Times New Roman" w:cs="Times New Roman"/>
        </w:rPr>
        <w:lastRenderedPageBreak/>
        <w:t>Materialien</w:t>
      </w:r>
      <w:r w:rsidR="00EF755D">
        <w:rPr>
          <w:rFonts w:ascii="Times New Roman" w:hAnsi="Times New Roman" w:cs="Times New Roman"/>
        </w:rPr>
        <w:t>verzeichnis</w:t>
      </w:r>
      <w:bookmarkEnd w:id="7"/>
    </w:p>
    <w:p w14:paraId="0F665156" w14:textId="77777777" w:rsidR="00342B8F" w:rsidRPr="00D72641" w:rsidRDefault="00342B8F" w:rsidP="00342B8F">
      <w:pPr>
        <w:pStyle w:val="Literatur"/>
      </w:pPr>
      <w:r w:rsidRPr="00D72641">
        <w:rPr>
          <w:smallCaps/>
          <w:lang w:eastAsia="de-DE"/>
        </w:rPr>
        <w:t xml:space="preserve">Amtliches Bulletin des </w:t>
      </w:r>
      <w:r w:rsidRPr="00D72641">
        <w:rPr>
          <w:smallCaps/>
        </w:rPr>
        <w:t>Nationalrats</w:t>
      </w:r>
      <w:r w:rsidRPr="00D72641">
        <w:rPr>
          <w:i/>
        </w:rPr>
        <w:t>,</w:t>
      </w:r>
      <w:r w:rsidRPr="00D72641">
        <w:t xml:space="preserve"> Frühjahrssession 2006, dritte Sitzung sowie Sommersession 2006, fünfte Sitzung.</w:t>
      </w:r>
    </w:p>
    <w:p w14:paraId="3049CA36" w14:textId="77777777" w:rsidR="004539F9" w:rsidRPr="00D72641" w:rsidRDefault="004539F9" w:rsidP="004539F9">
      <w:pPr>
        <w:pStyle w:val="Literatur"/>
        <w:rPr>
          <w:szCs w:val="24"/>
          <w:lang w:eastAsia="de-DE"/>
        </w:rPr>
      </w:pPr>
      <w:r w:rsidRPr="00D72641">
        <w:rPr>
          <w:smallCaps/>
          <w:szCs w:val="24"/>
          <w:lang w:eastAsia="de-DE"/>
        </w:rPr>
        <w:t>Amtliches Bulletin des Ständerats</w:t>
      </w:r>
      <w:r w:rsidRPr="00D72641">
        <w:rPr>
          <w:i/>
          <w:szCs w:val="24"/>
          <w:lang w:eastAsia="de-DE"/>
        </w:rPr>
        <w:t xml:space="preserve">, </w:t>
      </w:r>
      <w:r w:rsidRPr="00D72641">
        <w:rPr>
          <w:szCs w:val="24"/>
          <w:lang w:eastAsia="de-DE"/>
        </w:rPr>
        <w:t>Sommersession 2011, neunte Sitzung sowie Herbstsession 2011, siebente Sitzung.</w:t>
      </w:r>
    </w:p>
    <w:p w14:paraId="5566C9CE" w14:textId="34F64B12" w:rsidR="00FC21DD" w:rsidRPr="00D72641" w:rsidRDefault="00FC21DD" w:rsidP="00A56AC1">
      <w:pPr>
        <w:pStyle w:val="Literatur"/>
        <w:rPr>
          <w:szCs w:val="24"/>
        </w:rPr>
      </w:pPr>
      <w:r w:rsidRPr="00D72641">
        <w:rPr>
          <w:smallCaps/>
          <w:szCs w:val="24"/>
        </w:rPr>
        <w:t>Botschaft</w:t>
      </w:r>
      <w:r w:rsidRPr="0062056F">
        <w:rPr>
          <w:szCs w:val="24"/>
        </w:rPr>
        <w:t xml:space="preserve"> zum Bundesgesetz zur Anpassung des Bundesrechts an Entwicklungen der Technik verteilter elektronischer Register</w:t>
      </w:r>
      <w:r w:rsidR="005D3747" w:rsidRPr="0062056F">
        <w:rPr>
          <w:szCs w:val="24"/>
        </w:rPr>
        <w:t xml:space="preserve"> vom 27. November 2019, BBl 2020, S. 233</w:t>
      </w:r>
      <w:r w:rsidR="00AC7E16" w:rsidRPr="0062056F">
        <w:rPr>
          <w:szCs w:val="24"/>
        </w:rPr>
        <w:t>–</w:t>
      </w:r>
      <w:r w:rsidR="008F0CE1" w:rsidRPr="0062056F">
        <w:rPr>
          <w:szCs w:val="24"/>
        </w:rPr>
        <w:t>328.</w:t>
      </w:r>
    </w:p>
    <w:p w14:paraId="2EBF6E3F" w14:textId="06AB25F6" w:rsidR="001E26A8" w:rsidRPr="00D72641" w:rsidRDefault="001E26A8" w:rsidP="002A4EC4">
      <w:pPr>
        <w:pStyle w:val="Literatur"/>
        <w:suppressAutoHyphens/>
        <w:rPr>
          <w:bCs/>
          <w:szCs w:val="24"/>
        </w:rPr>
      </w:pPr>
      <w:r w:rsidRPr="00D72641">
        <w:rPr>
          <w:bCs/>
          <w:smallCaps/>
          <w:szCs w:val="24"/>
        </w:rPr>
        <w:t>Europäisches Parlament</w:t>
      </w:r>
      <w:r w:rsidRPr="00D72641">
        <w:rPr>
          <w:bCs/>
          <w:iCs/>
          <w:szCs w:val="24"/>
        </w:rPr>
        <w:t xml:space="preserve">, </w:t>
      </w:r>
      <w:r w:rsidRPr="00D72641">
        <w:rPr>
          <w:bCs/>
          <w:szCs w:val="24"/>
        </w:rPr>
        <w:t>Entschliessung des Europäischen Parlaments vom 7.</w:t>
      </w:r>
      <w:r w:rsidR="003A31C5" w:rsidRPr="00D72641">
        <w:rPr>
          <w:bCs/>
          <w:szCs w:val="24"/>
        </w:rPr>
        <w:t> </w:t>
      </w:r>
      <w:r w:rsidRPr="00D72641">
        <w:rPr>
          <w:bCs/>
          <w:szCs w:val="24"/>
        </w:rPr>
        <w:t>Juli 2010 mit Empfehlung</w:t>
      </w:r>
      <w:r w:rsidR="002A4EC4" w:rsidRPr="00D72641">
        <w:rPr>
          <w:bCs/>
          <w:szCs w:val="24"/>
        </w:rPr>
        <w:t>en</w:t>
      </w:r>
      <w:r w:rsidRPr="00D72641">
        <w:rPr>
          <w:bCs/>
          <w:szCs w:val="24"/>
        </w:rPr>
        <w:t xml:space="preserve"> an die Kommission zu einem grenzübergreifenden Krisenmanagement im Bankensektor (2010/2006(INI)), P7_</w:t>
      </w:r>
      <w:proofErr w:type="gramStart"/>
      <w:r w:rsidRPr="00D72641">
        <w:rPr>
          <w:bCs/>
          <w:szCs w:val="24"/>
        </w:rPr>
        <w:t>TA(</w:t>
      </w:r>
      <w:proofErr w:type="gramEnd"/>
      <w:r w:rsidRPr="00D72641">
        <w:rPr>
          <w:bCs/>
          <w:szCs w:val="24"/>
        </w:rPr>
        <w:t>2010)0276, abrufbar unter: &lt;www.europarl.europa.eu/RegData/</w:t>
      </w:r>
      <w:r w:rsidR="002A4EC4" w:rsidRPr="00D72641">
        <w:rPr>
          <w:bCs/>
          <w:szCs w:val="24"/>
        </w:rPr>
        <w:br/>
      </w:r>
      <w:r w:rsidRPr="00D72641">
        <w:rPr>
          <w:bCs/>
          <w:szCs w:val="24"/>
        </w:rPr>
        <w:t>seance_pleniere/textes_adoptes/definitif/2010/07-07/0276/P7_TA(2010)0276</w:t>
      </w:r>
      <w:r w:rsidR="002A4EC4" w:rsidRPr="00D72641">
        <w:rPr>
          <w:bCs/>
          <w:szCs w:val="24"/>
        </w:rPr>
        <w:br/>
      </w:r>
      <w:r w:rsidRPr="00D72641">
        <w:rPr>
          <w:bCs/>
          <w:szCs w:val="24"/>
        </w:rPr>
        <w:t>_DE.pdf&gt;.</w:t>
      </w:r>
    </w:p>
    <w:p w14:paraId="58EBF587" w14:textId="48310DA4" w:rsidR="004539F9" w:rsidRDefault="001E26A8" w:rsidP="00A56AC1">
      <w:pPr>
        <w:pStyle w:val="Literatur"/>
        <w:rPr>
          <w:smallCaps/>
        </w:rPr>
      </w:pPr>
      <w:r w:rsidRPr="00D72641">
        <w:rPr>
          <w:smallCaps/>
        </w:rPr>
        <w:t>Europäische Union</w:t>
      </w:r>
      <w:r w:rsidRPr="00D72641">
        <w:rPr>
          <w:i/>
        </w:rPr>
        <w:t>,</w:t>
      </w:r>
      <w:r w:rsidRPr="00D72641">
        <w:rPr>
          <w:smallCaps/>
        </w:rPr>
        <w:t xml:space="preserve"> </w:t>
      </w:r>
      <w:r w:rsidR="004539F9" w:rsidRPr="00D72641">
        <w:t xml:space="preserve">Verordnung (EU) Nr. 1092/2010 vom 24. November 2010 über die Finanzaufsicht der Europäischen Union auf Makroebene und zur Errichtung eines Europäischen Ausschusses für Systemrisiken (ESRB-VO), ABl. Nr. </w:t>
      </w:r>
      <w:r w:rsidR="004539F9" w:rsidRPr="00D72641">
        <w:rPr>
          <w:lang w:val="en-US"/>
        </w:rPr>
        <w:t xml:space="preserve">L 331/1 </w:t>
      </w:r>
      <w:proofErr w:type="spellStart"/>
      <w:r w:rsidR="004539F9" w:rsidRPr="00D72641">
        <w:rPr>
          <w:lang w:val="en-US"/>
        </w:rPr>
        <w:t>vom</w:t>
      </w:r>
      <w:proofErr w:type="spellEnd"/>
      <w:r w:rsidR="004539F9" w:rsidRPr="00D72641">
        <w:rPr>
          <w:lang w:val="en-US"/>
        </w:rPr>
        <w:t xml:space="preserve"> 15. </w:t>
      </w:r>
      <w:proofErr w:type="spellStart"/>
      <w:r w:rsidR="004539F9" w:rsidRPr="00D72641">
        <w:rPr>
          <w:lang w:val="en-US"/>
        </w:rPr>
        <w:t>Dezember</w:t>
      </w:r>
      <w:proofErr w:type="spellEnd"/>
      <w:r w:rsidR="004539F9" w:rsidRPr="00D72641">
        <w:rPr>
          <w:lang w:val="en-US"/>
        </w:rPr>
        <w:t xml:space="preserve"> 2010.</w:t>
      </w:r>
    </w:p>
    <w:p w14:paraId="00F5212F" w14:textId="7701FC82" w:rsidR="001E26A8" w:rsidRPr="00D72641" w:rsidRDefault="004539F9" w:rsidP="00A56AC1">
      <w:pPr>
        <w:pStyle w:val="Literatur"/>
      </w:pPr>
      <w:r w:rsidRPr="00D72641">
        <w:t>–</w:t>
      </w:r>
      <w:r w:rsidRPr="00D72641">
        <w:tab/>
      </w:r>
      <w:r w:rsidR="001E26A8" w:rsidRPr="00D72641">
        <w:t>Richtlinie 2006/73/EG vom 10. August 2006 zur Durchführung der Richtlinie 2004/39/EG in Bezug auf die organisatorischen Anforderungen an Wertpapierfirmen und die Bedingungen für die Ausübung ihrer Tätigkeit sowie in Bezug auf die Definition bestimmter Begriffe für die Zwecke der genannten Richtlinie (MiFID-DRL), ABl. Nr. L 241/26 vom 2.</w:t>
      </w:r>
      <w:r w:rsidR="001E26A8" w:rsidRPr="00D72641">
        <w:rPr>
          <w:sz w:val="22"/>
        </w:rPr>
        <w:t> </w:t>
      </w:r>
      <w:r w:rsidR="001E26A8" w:rsidRPr="00D72641">
        <w:t>September 2006.</w:t>
      </w:r>
    </w:p>
    <w:p w14:paraId="3A278CF2" w14:textId="0E194918" w:rsidR="001E26A8" w:rsidRPr="00D72641" w:rsidRDefault="001E26A8" w:rsidP="004539F9">
      <w:pPr>
        <w:pStyle w:val="Literatur"/>
        <w:rPr>
          <w:lang w:val="en-US"/>
        </w:rPr>
      </w:pPr>
      <w:r w:rsidRPr="00D72641">
        <w:t>–</w:t>
      </w:r>
      <w:r w:rsidRPr="00D72641">
        <w:tab/>
        <w:t>Richtlinie 2004/39/EG vom 21. April 2004 über Märkte für Finanzinstrumente, zur Änderung der Richtlinien 85/611/EWG und 93/6/EWG und der Richtlinie 2000/12/EG und zur Aufhebung der Richtlinie 93/22/EWG (MiFID), ABl. Nr. L 145/1 vom 30. April 2004.</w:t>
      </w:r>
    </w:p>
    <w:p w14:paraId="1A56F556" w14:textId="77777777" w:rsidR="001E26A8" w:rsidRPr="00D72641" w:rsidRDefault="001E26A8" w:rsidP="00A56AC1">
      <w:pPr>
        <w:pStyle w:val="Literatur"/>
      </w:pPr>
      <w:r w:rsidRPr="00D72641">
        <w:rPr>
          <w:smallCaps/>
          <w:lang w:val="en-US"/>
        </w:rPr>
        <w:t>EU-</w:t>
      </w:r>
      <w:proofErr w:type="spellStart"/>
      <w:r w:rsidRPr="00D72641">
        <w:rPr>
          <w:smallCaps/>
          <w:lang w:val="en-US"/>
        </w:rPr>
        <w:t>Kommission</w:t>
      </w:r>
      <w:proofErr w:type="spellEnd"/>
      <w:r w:rsidRPr="00D72641">
        <w:rPr>
          <w:i/>
          <w:lang w:val="en-US"/>
        </w:rPr>
        <w:t xml:space="preserve">, </w:t>
      </w:r>
      <w:r w:rsidRPr="00D72641">
        <w:rPr>
          <w:lang w:val="en-US"/>
        </w:rPr>
        <w:t>Commission Staff Working Paper, The Gender Balance in Busi</w:t>
      </w:r>
      <w:r w:rsidRPr="00D72641">
        <w:rPr>
          <w:lang w:val="en-US"/>
        </w:rPr>
        <w:softHyphen/>
        <w:t>ness Leadership, 1. </w:t>
      </w:r>
      <w:r w:rsidRPr="00D72641">
        <w:t xml:space="preserve">März 2011, </w:t>
      </w:r>
      <w:proofErr w:type="gramStart"/>
      <w:r w:rsidRPr="00D72641">
        <w:t>SEC(</w:t>
      </w:r>
      <w:proofErr w:type="gramEnd"/>
      <w:r w:rsidRPr="00D72641">
        <w:t>2011) 246 final, abrufbar unter: &lt;www.eurosfaire.prd.fr/7pc/doc/1299060046_sec_2011_0246_en.pdf&gt;.</w:t>
      </w:r>
    </w:p>
    <w:p w14:paraId="150E9A6B" w14:textId="417D7B23" w:rsidR="001E26A8" w:rsidRDefault="001E26A8" w:rsidP="00D72641">
      <w:pPr>
        <w:pStyle w:val="Literatur"/>
        <w:suppressAutoHyphens/>
      </w:pPr>
      <w:r w:rsidRPr="00D72641">
        <w:t>–</w:t>
      </w:r>
      <w:r w:rsidRPr="00D72641">
        <w:tab/>
        <w:t xml:space="preserve">Grünbuch – Corporate Governance in Finanzinstituten und Vergütungspolitik, 2. Juni 2010, </w:t>
      </w:r>
      <w:proofErr w:type="gramStart"/>
      <w:r w:rsidRPr="00D72641">
        <w:t>KOM(</w:t>
      </w:r>
      <w:proofErr w:type="gramEnd"/>
      <w:r w:rsidRPr="00D72641">
        <w:t>2010) 284 endg., abrufbar unter: &lt;</w:t>
      </w:r>
      <w:r w:rsidR="00D72641" w:rsidRPr="00D72641">
        <w:t>op.europa.eu/de/</w:t>
      </w:r>
      <w:r w:rsidR="00D72641" w:rsidRPr="00D72641">
        <w:br/>
        <w:t>publication-detail/-/publication/1788e830-b050-447c-8214-77ed51b13241/</w:t>
      </w:r>
      <w:r w:rsidR="00D72641" w:rsidRPr="00D72641">
        <w:br/>
        <w:t>language-de</w:t>
      </w:r>
      <w:r w:rsidRPr="00D72641">
        <w:t>&gt;.</w:t>
      </w:r>
    </w:p>
    <w:p w14:paraId="6C0445F5" w14:textId="7DB2A4BA" w:rsidR="00DF1A68" w:rsidRDefault="00DF1A68" w:rsidP="003A31C5">
      <w:pPr>
        <w:pStyle w:val="Literatur"/>
        <w:suppressAutoHyphens/>
        <w:rPr>
          <w:bCs/>
          <w:szCs w:val="24"/>
        </w:rPr>
      </w:pPr>
      <w:r w:rsidRPr="002C13FF">
        <w:t>FINMA</w:t>
      </w:r>
      <w:r w:rsidR="002C13FF" w:rsidRPr="002C13FF">
        <w:t xml:space="preserve"> – </w:t>
      </w:r>
      <w:r w:rsidRPr="002C13FF">
        <w:rPr>
          <w:bCs/>
          <w:szCs w:val="24"/>
        </w:rPr>
        <w:t>Eidgenössische Finanzmarktaufsicht,</w:t>
      </w:r>
      <w:r w:rsidR="002C13FF" w:rsidRPr="002C13FF">
        <w:rPr>
          <w:bCs/>
          <w:szCs w:val="24"/>
        </w:rPr>
        <w:t xml:space="preserve"> Jahresbericht 2020,</w:t>
      </w:r>
      <w:r w:rsidRPr="002C13FF">
        <w:rPr>
          <w:bCs/>
          <w:szCs w:val="24"/>
        </w:rPr>
        <w:t xml:space="preserve"> abrufbar unter &lt;www.finma.ch/de/</w:t>
      </w:r>
      <w:r w:rsidRPr="0084340D">
        <w:rPr>
          <w:bCs/>
          <w:szCs w:val="24"/>
        </w:rPr>
        <w:t>dokumentation/finma-publikationen/</w:t>
      </w:r>
      <w:r w:rsidR="003A31C5">
        <w:rPr>
          <w:bCs/>
          <w:szCs w:val="24"/>
        </w:rPr>
        <w:br/>
      </w:r>
      <w:r w:rsidRPr="0084340D">
        <w:rPr>
          <w:bCs/>
          <w:szCs w:val="24"/>
        </w:rPr>
        <w:t>geschaeftsberichte</w:t>
      </w:r>
      <w:r>
        <w:rPr>
          <w:bCs/>
          <w:szCs w:val="24"/>
        </w:rPr>
        <w:t>&gt;.</w:t>
      </w:r>
    </w:p>
    <w:p w14:paraId="6C46BADC" w14:textId="7B125DA3" w:rsidR="001E26A8" w:rsidRDefault="001E26A8" w:rsidP="00A56AC1">
      <w:pPr>
        <w:pStyle w:val="Literatur"/>
        <w:rPr>
          <w:bCs/>
          <w:szCs w:val="24"/>
        </w:rPr>
      </w:pPr>
      <w:r w:rsidRPr="002C13FF">
        <w:rPr>
          <w:bCs/>
          <w:smallCaps/>
          <w:szCs w:val="24"/>
        </w:rPr>
        <w:lastRenderedPageBreak/>
        <w:t>FINMA-</w:t>
      </w:r>
      <w:r w:rsidR="003A31C5" w:rsidRPr="002C13FF">
        <w:rPr>
          <w:bCs/>
          <w:szCs w:val="24"/>
        </w:rPr>
        <w:t>RS</w:t>
      </w:r>
      <w:r w:rsidRPr="002C13FF">
        <w:rPr>
          <w:bCs/>
          <w:i/>
          <w:szCs w:val="24"/>
        </w:rPr>
        <w:t>,</w:t>
      </w:r>
      <w:r w:rsidRPr="002C13FF">
        <w:rPr>
          <w:bCs/>
          <w:szCs w:val="24"/>
        </w:rPr>
        <w:t xml:space="preserve"> </w:t>
      </w:r>
      <w:r w:rsidR="002F6B8F" w:rsidRPr="002C13FF">
        <w:rPr>
          <w:bCs/>
          <w:szCs w:val="24"/>
        </w:rPr>
        <w:t>Rundschreiben</w:t>
      </w:r>
      <w:r w:rsidR="002F6B8F">
        <w:rPr>
          <w:bCs/>
          <w:szCs w:val="24"/>
        </w:rPr>
        <w:t xml:space="preserve"> der Eidgenössischen Finanzmarktaufsicht</w:t>
      </w:r>
      <w:r w:rsidR="00F73EF6">
        <w:rPr>
          <w:bCs/>
          <w:szCs w:val="24"/>
        </w:rPr>
        <w:t xml:space="preserve"> FINMA</w:t>
      </w:r>
      <w:r w:rsidR="002F6B8F">
        <w:rPr>
          <w:bCs/>
          <w:szCs w:val="24"/>
        </w:rPr>
        <w:t xml:space="preserve">, </w:t>
      </w:r>
      <w:r w:rsidRPr="001F7D1A">
        <w:rPr>
          <w:bCs/>
          <w:szCs w:val="24"/>
        </w:rPr>
        <w:t>abrufbar unter: &lt;www.finma</w:t>
      </w:r>
      <w:r w:rsidRPr="00D82C97">
        <w:rPr>
          <w:bCs/>
          <w:szCs w:val="24"/>
        </w:rPr>
        <w:t xml:space="preserve">.ch&gt;, </w:t>
      </w:r>
      <w:r w:rsidR="006B3FAC">
        <w:rPr>
          <w:bCs/>
          <w:szCs w:val="24"/>
        </w:rPr>
        <w:t>Dokumentation</w:t>
      </w:r>
      <w:r w:rsidRPr="00D82C97">
        <w:rPr>
          <w:bCs/>
          <w:szCs w:val="24"/>
        </w:rPr>
        <w:t>, Rundschreiben.</w:t>
      </w:r>
    </w:p>
    <w:p w14:paraId="580014FE" w14:textId="24662831" w:rsidR="0062056F" w:rsidRDefault="0062056F" w:rsidP="0062056F">
      <w:pPr>
        <w:pStyle w:val="Literatur"/>
        <w:rPr>
          <w:bCs/>
          <w:szCs w:val="24"/>
        </w:rPr>
      </w:pPr>
      <w:r w:rsidRPr="001F7D1A">
        <w:t>–</w:t>
      </w:r>
      <w:r w:rsidRPr="001F7D1A">
        <w:tab/>
      </w:r>
      <w:r>
        <w:t>FINMA-RS 19/2 vom 20. Juni 2018: Messung, Steuerung, Überwachung und Kontrolle der Zinsrisiken im Bankenbuch.</w:t>
      </w:r>
    </w:p>
    <w:p w14:paraId="7E20B8AA" w14:textId="03DBCFDA" w:rsidR="0062056F" w:rsidRPr="0062056F" w:rsidRDefault="0062056F" w:rsidP="0062056F">
      <w:pPr>
        <w:pStyle w:val="Literatur"/>
        <w:rPr>
          <w:bCs/>
          <w:szCs w:val="24"/>
        </w:rPr>
      </w:pPr>
      <w:r w:rsidRPr="001F7D1A">
        <w:t>–</w:t>
      </w:r>
      <w:r w:rsidRPr="001F7D1A">
        <w:tab/>
      </w:r>
      <w:r w:rsidRPr="00D82C97">
        <w:t xml:space="preserve">FINMA-RS 11/2 vom </w:t>
      </w:r>
      <w:r>
        <w:t>30</w:t>
      </w:r>
      <w:r w:rsidRPr="00D82C97">
        <w:t xml:space="preserve">. </w:t>
      </w:r>
      <w:r>
        <w:t>März</w:t>
      </w:r>
      <w:r w:rsidRPr="00D82C97">
        <w:t xml:space="preserve"> 2011: Eigenmittelpuffer und Kapitalplanung bei Banken.</w:t>
      </w:r>
    </w:p>
    <w:p w14:paraId="08061C1E" w14:textId="5DEAA0E5" w:rsidR="00825C46" w:rsidRDefault="001E26A8" w:rsidP="00A56AC1">
      <w:pPr>
        <w:pStyle w:val="Literatur"/>
        <w:rPr>
          <w:smallCaps/>
          <w:lang w:val="en-US"/>
        </w:rPr>
      </w:pPr>
      <w:r w:rsidRPr="001E26A8">
        <w:rPr>
          <w:lang w:val="en-US"/>
        </w:rPr>
        <w:t>OECD</w:t>
      </w:r>
      <w:r w:rsidR="002F6B8F">
        <w:rPr>
          <w:lang w:val="en-US"/>
        </w:rPr>
        <w:t xml:space="preserve"> – </w:t>
      </w:r>
      <w:proofErr w:type="spellStart"/>
      <w:r w:rsidR="002F6B8F" w:rsidRPr="00493667">
        <w:rPr>
          <w:smallCaps/>
          <w:lang w:val="en-US"/>
        </w:rPr>
        <w:t>Organisation</w:t>
      </w:r>
      <w:proofErr w:type="spellEnd"/>
      <w:r w:rsidR="002F6B8F" w:rsidRPr="00493667">
        <w:rPr>
          <w:smallCaps/>
          <w:lang w:val="en-US"/>
        </w:rPr>
        <w:t xml:space="preserve"> for International Co-operation and Development</w:t>
      </w:r>
      <w:r w:rsidRPr="001E26A8">
        <w:rPr>
          <w:lang w:val="en-US"/>
        </w:rPr>
        <w:t>,</w:t>
      </w:r>
      <w:r w:rsidRPr="001F7D1A">
        <w:rPr>
          <w:smallCaps/>
          <w:lang w:val="en-US"/>
        </w:rPr>
        <w:t xml:space="preserve"> </w:t>
      </w:r>
      <w:r w:rsidR="00825C46">
        <w:t>G20/OECD-</w:t>
      </w:r>
      <w:r w:rsidR="00825C46" w:rsidRPr="001F7D1A">
        <w:t>Grundsätze der Corporate Governance</w:t>
      </w:r>
      <w:r w:rsidR="00825C46">
        <w:t xml:space="preserve"> 2015</w:t>
      </w:r>
      <w:r w:rsidR="00825C46" w:rsidRPr="001F7D1A">
        <w:t xml:space="preserve">, </w:t>
      </w:r>
      <w:r w:rsidR="00825C46">
        <w:t xml:space="preserve">überarbeitete Ausgabe, Januar 2016, </w:t>
      </w:r>
      <w:r w:rsidR="00825C46" w:rsidRPr="001F7D1A">
        <w:t>abrufbar unter: &lt;</w:t>
      </w:r>
      <w:r w:rsidR="00825C46" w:rsidRPr="002D4CD6">
        <w:t>www.oecd-ilibrary.org/governance/g20-oecd-grundsatze-der-corporate-governance_9789264250130-de</w:t>
      </w:r>
      <w:r w:rsidR="00825C46" w:rsidRPr="001F7D1A">
        <w:t xml:space="preserve">&gt; [deutsch]; für die englische Version vgl. </w:t>
      </w:r>
      <w:r w:rsidR="00825C46">
        <w:t>&lt;www.</w:t>
      </w:r>
      <w:r w:rsidR="00825C46" w:rsidRPr="008B4166">
        <w:t>dx.doi.org/10.1787/9789264236882-en</w:t>
      </w:r>
      <w:r w:rsidR="00825C46">
        <w:t>&gt;.</w:t>
      </w:r>
    </w:p>
    <w:p w14:paraId="07043CBF" w14:textId="04517207" w:rsidR="001E26A8" w:rsidRPr="001F7D1A" w:rsidRDefault="00825C46" w:rsidP="00A56AC1">
      <w:pPr>
        <w:pStyle w:val="Literatur"/>
      </w:pPr>
      <w:r w:rsidRPr="00D72641">
        <w:t>–</w:t>
      </w:r>
      <w:r w:rsidRPr="00D72641">
        <w:tab/>
      </w:r>
      <w:r w:rsidR="001E26A8" w:rsidRPr="001F7D1A">
        <w:rPr>
          <w:lang w:val="en-US"/>
        </w:rPr>
        <w:t xml:space="preserve">Corporate Governance and the Financial Crisis, Conclusions and emerging good practices to enhance implementation of the Principles, 24. </w:t>
      </w:r>
      <w:r w:rsidR="001E26A8" w:rsidRPr="001F7D1A">
        <w:t>Februar 2010, abrufbar unter: &lt;www.oecd.org/dataoecd/53/62/44679170.pdf&gt;.</w:t>
      </w:r>
    </w:p>
    <w:p w14:paraId="0115E04F" w14:textId="14423A9D" w:rsidR="001E26A8" w:rsidRDefault="001E26A8" w:rsidP="00A56AC1">
      <w:pPr>
        <w:pStyle w:val="Literatur"/>
      </w:pPr>
      <w:r w:rsidRPr="001E26A8">
        <w:rPr>
          <w:smallCaps/>
        </w:rPr>
        <w:t>Rat der Europäischen Union</w:t>
      </w:r>
      <w:r w:rsidRPr="001F7D1A">
        <w:rPr>
          <w:i/>
        </w:rPr>
        <w:t xml:space="preserve">, </w:t>
      </w:r>
      <w:r w:rsidRPr="001F7D1A">
        <w:t>Mitteilung an die Presse, 3115. Tagung des Rates Wirtschaft und Finanzen, Luxemburg, 4. Oktober 2011, Dok.-Nr. des Rates 14890/11 (Presse 337), abrufbar unter: &lt;register.consilium.europa.eu/pdf/</w:t>
      </w:r>
      <w:r w:rsidR="000B50B9">
        <w:br/>
      </w:r>
      <w:r w:rsidRPr="001F7D1A">
        <w:t>de/11/st14/st14890.de11.pdf&gt;.</w:t>
      </w:r>
    </w:p>
    <w:p w14:paraId="609CFC54" w14:textId="16748BA2" w:rsidR="00A61011" w:rsidRDefault="00A61011" w:rsidP="00A61011">
      <w:pPr>
        <w:pStyle w:val="Verzeichnistitel"/>
      </w:pPr>
      <w:r>
        <w:br w:type="page"/>
      </w:r>
      <w:bookmarkStart w:id="8" w:name="_Toc97043960"/>
      <w:r w:rsidRPr="00493667">
        <w:lastRenderedPageBreak/>
        <w:t>Abkürzungsverzeichnis</w:t>
      </w:r>
      <w:bookmarkEnd w:id="8"/>
    </w:p>
    <w:p w14:paraId="68CEF88C" w14:textId="6D16F75E" w:rsidR="00A61011" w:rsidRDefault="00A61011" w:rsidP="00A61011">
      <w:pPr>
        <w:spacing w:after="240"/>
      </w:pPr>
      <w:r w:rsidRPr="00B357B1">
        <w:t>Nur die wichtigsten Abkürzungen sind angegeben. Für nicht aufgeführte Gesetzesabkürzungen wird auf das Verzeichnis in den Entscheidungen des Schweizerischen Bundesgerichts (amtliche Sammlung) verwiesen.</w:t>
      </w:r>
    </w:p>
    <w:tbl>
      <w:tblPr>
        <w:tblW w:w="8505" w:type="dxa"/>
        <w:tblLayout w:type="fixed"/>
        <w:tblCellMar>
          <w:left w:w="0" w:type="dxa"/>
          <w:right w:w="0" w:type="dxa"/>
        </w:tblCellMar>
        <w:tblLook w:val="0000" w:firstRow="0" w:lastRow="0" w:firstColumn="0" w:lastColumn="0" w:noHBand="0" w:noVBand="0"/>
      </w:tblPr>
      <w:tblGrid>
        <w:gridCol w:w="2268"/>
        <w:gridCol w:w="6237"/>
      </w:tblGrid>
      <w:tr w:rsidR="00A61011" w:rsidRPr="005C616F" w14:paraId="41338EBF"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1C2B0AB6" w14:textId="77777777" w:rsidR="00A61011" w:rsidRPr="005C616F" w:rsidRDefault="00A61011" w:rsidP="00A61011">
            <w:pPr>
              <w:pStyle w:val="Abkuerzung"/>
            </w:pPr>
            <w:r w:rsidRPr="00B26994">
              <w:t>a.A.</w:t>
            </w:r>
          </w:p>
        </w:tc>
        <w:tc>
          <w:tcPr>
            <w:tcW w:w="6237" w:type="dxa"/>
            <w:tcBorders>
              <w:top w:val="nil"/>
              <w:left w:val="nil"/>
              <w:bottom w:val="nil"/>
              <w:right w:val="nil"/>
            </w:tcBorders>
            <w:shd w:val="clear" w:color="auto" w:fill="auto"/>
            <w:tcMar>
              <w:top w:w="0" w:type="dxa"/>
              <w:left w:w="0" w:type="dxa"/>
              <w:bottom w:w="170" w:type="dxa"/>
              <w:right w:w="0" w:type="dxa"/>
            </w:tcMar>
          </w:tcPr>
          <w:p w14:paraId="3A46979F" w14:textId="77777777" w:rsidR="00A61011" w:rsidRPr="00B357B1" w:rsidRDefault="00A61011" w:rsidP="00A61011">
            <w:pPr>
              <w:pStyle w:val="Abkuerzung"/>
            </w:pPr>
            <w:r w:rsidRPr="00B357B1">
              <w:t>andere(r) Ansicht</w:t>
            </w:r>
          </w:p>
        </w:tc>
      </w:tr>
      <w:tr w:rsidR="00A61011" w:rsidRPr="005C616F" w14:paraId="3C46E74F"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71F80302" w14:textId="77777777" w:rsidR="00A61011" w:rsidRPr="00B26994" w:rsidRDefault="00A61011" w:rsidP="00A61011">
            <w:pPr>
              <w:pStyle w:val="Abkuerzung"/>
            </w:pPr>
            <w:r w:rsidRPr="00B26994">
              <w:t>a.a.O.</w:t>
            </w:r>
          </w:p>
        </w:tc>
        <w:tc>
          <w:tcPr>
            <w:tcW w:w="6237" w:type="dxa"/>
            <w:tcBorders>
              <w:top w:val="nil"/>
              <w:left w:val="nil"/>
              <w:bottom w:val="nil"/>
              <w:right w:val="nil"/>
            </w:tcBorders>
            <w:shd w:val="clear" w:color="auto" w:fill="auto"/>
            <w:tcMar>
              <w:top w:w="0" w:type="dxa"/>
              <w:left w:w="0" w:type="dxa"/>
              <w:bottom w:w="170" w:type="dxa"/>
              <w:right w:w="0" w:type="dxa"/>
            </w:tcMar>
          </w:tcPr>
          <w:p w14:paraId="52986AD2" w14:textId="77777777" w:rsidR="00A61011" w:rsidRPr="00B26994" w:rsidRDefault="00A61011" w:rsidP="00A61011">
            <w:pPr>
              <w:pStyle w:val="Abkuerzung"/>
            </w:pPr>
            <w:r w:rsidRPr="00B26994">
              <w:t>am angeführten Ort</w:t>
            </w:r>
          </w:p>
        </w:tc>
      </w:tr>
      <w:tr w:rsidR="00A61011" w:rsidRPr="005C616F" w14:paraId="159EFA7F"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1062AF6E" w14:textId="77777777" w:rsidR="00A61011" w:rsidRPr="00B26994" w:rsidRDefault="00A61011" w:rsidP="00A61011">
            <w:pPr>
              <w:pStyle w:val="Abkuerzung"/>
            </w:pPr>
            <w:r w:rsidRPr="00B26994">
              <w:t>Abs.</w:t>
            </w:r>
          </w:p>
        </w:tc>
        <w:tc>
          <w:tcPr>
            <w:tcW w:w="6237" w:type="dxa"/>
            <w:tcBorders>
              <w:top w:val="nil"/>
              <w:left w:val="nil"/>
              <w:bottom w:val="nil"/>
              <w:right w:val="nil"/>
            </w:tcBorders>
            <w:shd w:val="clear" w:color="auto" w:fill="auto"/>
            <w:tcMar>
              <w:top w:w="0" w:type="dxa"/>
              <w:left w:w="0" w:type="dxa"/>
              <w:bottom w:w="170" w:type="dxa"/>
              <w:right w:w="0" w:type="dxa"/>
            </w:tcMar>
          </w:tcPr>
          <w:p w14:paraId="34F0D16C" w14:textId="77777777" w:rsidR="00A61011" w:rsidRPr="00B26994" w:rsidRDefault="00A61011" w:rsidP="00A61011">
            <w:pPr>
              <w:pStyle w:val="Abkuerzung"/>
            </w:pPr>
            <w:r w:rsidRPr="00B26994">
              <w:t>Absatz</w:t>
            </w:r>
          </w:p>
        </w:tc>
      </w:tr>
      <w:tr w:rsidR="00A61011" w:rsidRPr="005C616F" w14:paraId="7A993D26"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13AF330E" w14:textId="77777777" w:rsidR="00A61011" w:rsidRPr="00B26994" w:rsidRDefault="00A61011" w:rsidP="00A61011">
            <w:pPr>
              <w:pStyle w:val="Abkuerzung"/>
            </w:pPr>
            <w:r w:rsidRPr="00B26994">
              <w:t>AGB</w:t>
            </w:r>
          </w:p>
        </w:tc>
        <w:tc>
          <w:tcPr>
            <w:tcW w:w="6237" w:type="dxa"/>
            <w:tcBorders>
              <w:top w:val="nil"/>
              <w:left w:val="nil"/>
              <w:bottom w:val="nil"/>
              <w:right w:val="nil"/>
            </w:tcBorders>
            <w:shd w:val="clear" w:color="auto" w:fill="auto"/>
            <w:tcMar>
              <w:top w:w="0" w:type="dxa"/>
              <w:left w:w="0" w:type="dxa"/>
              <w:bottom w:w="170" w:type="dxa"/>
              <w:right w:w="0" w:type="dxa"/>
            </w:tcMar>
          </w:tcPr>
          <w:p w14:paraId="43464A32" w14:textId="77777777" w:rsidR="00A61011" w:rsidRPr="00B26994" w:rsidRDefault="00A61011" w:rsidP="00A61011">
            <w:pPr>
              <w:pStyle w:val="Abkuerzung"/>
            </w:pPr>
            <w:r w:rsidRPr="00B26994">
              <w:t>Allgemeine Geschäftsbedingungen</w:t>
            </w:r>
          </w:p>
        </w:tc>
      </w:tr>
      <w:tr w:rsidR="00A61011" w:rsidRPr="005C616F" w14:paraId="1D9BE39E"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487451F8" w14:textId="77777777" w:rsidR="00A61011" w:rsidRPr="00B26994" w:rsidRDefault="00A61011" w:rsidP="00A61011">
            <w:pPr>
              <w:pStyle w:val="Abkuerzung"/>
            </w:pPr>
            <w:r w:rsidRPr="00B26994">
              <w:t>AJP</w:t>
            </w:r>
          </w:p>
        </w:tc>
        <w:tc>
          <w:tcPr>
            <w:tcW w:w="6237" w:type="dxa"/>
            <w:tcBorders>
              <w:top w:val="nil"/>
              <w:left w:val="nil"/>
              <w:bottom w:val="nil"/>
              <w:right w:val="nil"/>
            </w:tcBorders>
            <w:shd w:val="clear" w:color="auto" w:fill="auto"/>
            <w:tcMar>
              <w:top w:w="0" w:type="dxa"/>
              <w:left w:w="0" w:type="dxa"/>
              <w:bottom w:w="170" w:type="dxa"/>
              <w:right w:w="0" w:type="dxa"/>
            </w:tcMar>
          </w:tcPr>
          <w:p w14:paraId="317982CE" w14:textId="77777777" w:rsidR="00A61011" w:rsidRPr="00B26994" w:rsidRDefault="00A61011" w:rsidP="00A61011">
            <w:pPr>
              <w:pStyle w:val="Abkuerzung"/>
            </w:pPr>
            <w:r w:rsidRPr="00B26994">
              <w:t>Aktuelle Juristische Praxis (Lachen)</w:t>
            </w:r>
          </w:p>
        </w:tc>
      </w:tr>
      <w:tr w:rsidR="00A61011" w:rsidRPr="005C616F" w14:paraId="31077A60"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3B1FFB45" w14:textId="77777777" w:rsidR="00A61011" w:rsidRPr="00B26994" w:rsidRDefault="00A61011" w:rsidP="00A61011">
            <w:pPr>
              <w:pStyle w:val="Abkuerzung"/>
            </w:pPr>
            <w:r w:rsidRPr="00B26994">
              <w:t>a.M.</w:t>
            </w:r>
          </w:p>
        </w:tc>
        <w:tc>
          <w:tcPr>
            <w:tcW w:w="6237" w:type="dxa"/>
            <w:tcBorders>
              <w:top w:val="nil"/>
              <w:left w:val="nil"/>
              <w:bottom w:val="nil"/>
              <w:right w:val="nil"/>
            </w:tcBorders>
            <w:shd w:val="clear" w:color="auto" w:fill="auto"/>
            <w:tcMar>
              <w:top w:w="0" w:type="dxa"/>
              <w:left w:w="0" w:type="dxa"/>
              <w:bottom w:w="170" w:type="dxa"/>
              <w:right w:w="0" w:type="dxa"/>
            </w:tcMar>
          </w:tcPr>
          <w:p w14:paraId="54F75F15" w14:textId="77777777" w:rsidR="00A61011" w:rsidRPr="00B26994" w:rsidRDefault="00A61011" w:rsidP="00A61011">
            <w:pPr>
              <w:pStyle w:val="Abkuerzung"/>
            </w:pPr>
            <w:r w:rsidRPr="00B26994">
              <w:t>andere(r) Meinung</w:t>
            </w:r>
          </w:p>
        </w:tc>
      </w:tr>
      <w:tr w:rsidR="00A61011" w:rsidRPr="005C616F" w14:paraId="6DF6B20B"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06EE953D" w14:textId="77777777" w:rsidR="00A61011" w:rsidRPr="00B26994" w:rsidRDefault="00A61011" w:rsidP="00A61011">
            <w:pPr>
              <w:pStyle w:val="Abkuerzung"/>
            </w:pPr>
            <w:r w:rsidRPr="00B26994">
              <w:t>Amtl. Bull. NR/StR</w:t>
            </w:r>
          </w:p>
        </w:tc>
        <w:tc>
          <w:tcPr>
            <w:tcW w:w="6237" w:type="dxa"/>
            <w:tcBorders>
              <w:top w:val="nil"/>
              <w:left w:val="nil"/>
              <w:bottom w:val="nil"/>
              <w:right w:val="nil"/>
            </w:tcBorders>
            <w:shd w:val="clear" w:color="auto" w:fill="auto"/>
            <w:tcMar>
              <w:top w:w="0" w:type="dxa"/>
              <w:left w:w="0" w:type="dxa"/>
              <w:bottom w:w="170" w:type="dxa"/>
              <w:right w:w="0" w:type="dxa"/>
            </w:tcMar>
          </w:tcPr>
          <w:p w14:paraId="09DFE8E8" w14:textId="77777777" w:rsidR="00A61011" w:rsidRPr="00B26994" w:rsidRDefault="00A61011" w:rsidP="00A61011">
            <w:pPr>
              <w:pStyle w:val="Abkuerzung"/>
            </w:pPr>
            <w:r w:rsidRPr="00B26994">
              <w:t>Amtliches Bulletin der Bundesversammlung Nationalrat/Ständerat</w:t>
            </w:r>
          </w:p>
        </w:tc>
      </w:tr>
      <w:tr w:rsidR="00A61011" w:rsidRPr="005C616F" w14:paraId="0B2A1528"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2C193ED1" w14:textId="77777777" w:rsidR="00A61011" w:rsidRPr="00B26994" w:rsidRDefault="00A61011" w:rsidP="00A61011">
            <w:pPr>
              <w:pStyle w:val="Abkuerzung"/>
            </w:pPr>
            <w:r w:rsidRPr="00B26994">
              <w:t>Anm.</w:t>
            </w:r>
          </w:p>
        </w:tc>
        <w:tc>
          <w:tcPr>
            <w:tcW w:w="6237" w:type="dxa"/>
            <w:tcBorders>
              <w:top w:val="nil"/>
              <w:left w:val="nil"/>
              <w:bottom w:val="nil"/>
              <w:right w:val="nil"/>
            </w:tcBorders>
            <w:shd w:val="clear" w:color="auto" w:fill="auto"/>
            <w:tcMar>
              <w:top w:w="0" w:type="dxa"/>
              <w:left w:w="0" w:type="dxa"/>
              <w:bottom w:w="170" w:type="dxa"/>
              <w:right w:w="0" w:type="dxa"/>
            </w:tcMar>
          </w:tcPr>
          <w:p w14:paraId="5F8BA447" w14:textId="77777777" w:rsidR="00A61011" w:rsidRPr="00B26994" w:rsidRDefault="00A61011" w:rsidP="00A61011">
            <w:pPr>
              <w:pStyle w:val="Abkuerzung"/>
            </w:pPr>
            <w:r w:rsidRPr="00B26994">
              <w:t>Anmerkung</w:t>
            </w:r>
          </w:p>
        </w:tc>
      </w:tr>
      <w:tr w:rsidR="00A61011" w:rsidRPr="005C616F" w14:paraId="274EDD4C"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687A5F71" w14:textId="77777777" w:rsidR="00A61011" w:rsidRPr="00B26994" w:rsidRDefault="00A61011" w:rsidP="00A61011">
            <w:pPr>
              <w:pStyle w:val="Abkuerzung"/>
            </w:pPr>
            <w:r w:rsidRPr="00B26994">
              <w:t>aOR</w:t>
            </w:r>
          </w:p>
        </w:tc>
        <w:tc>
          <w:tcPr>
            <w:tcW w:w="6237" w:type="dxa"/>
            <w:tcBorders>
              <w:top w:val="nil"/>
              <w:left w:val="nil"/>
              <w:bottom w:val="nil"/>
              <w:right w:val="nil"/>
            </w:tcBorders>
            <w:shd w:val="clear" w:color="auto" w:fill="auto"/>
            <w:tcMar>
              <w:top w:w="0" w:type="dxa"/>
              <w:left w:w="0" w:type="dxa"/>
              <w:bottom w:w="170" w:type="dxa"/>
              <w:right w:w="0" w:type="dxa"/>
            </w:tcMar>
          </w:tcPr>
          <w:p w14:paraId="39AC6FEE" w14:textId="77777777" w:rsidR="00A61011" w:rsidRPr="00B26994" w:rsidRDefault="00A61011" w:rsidP="00A61011">
            <w:pPr>
              <w:pStyle w:val="Abkuerzung"/>
            </w:pPr>
            <w:r w:rsidRPr="00B26994">
              <w:t>BG vom 14. Juni 1881 über das Obligationenrecht (nicht mehr in Kraft; abgedruckt in AS, 5. Band/Neue Folge, 1882, S. 635 ff.)</w:t>
            </w:r>
          </w:p>
        </w:tc>
      </w:tr>
      <w:tr w:rsidR="00A61011" w:rsidRPr="005C616F" w14:paraId="4B3BA853"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178C6C4D" w14:textId="77777777" w:rsidR="00A61011" w:rsidRPr="00B26994" w:rsidRDefault="00A61011" w:rsidP="00A61011">
            <w:pPr>
              <w:pStyle w:val="Abkuerzung"/>
            </w:pPr>
            <w:r>
              <w:t>AppGer</w:t>
            </w:r>
          </w:p>
        </w:tc>
        <w:tc>
          <w:tcPr>
            <w:tcW w:w="6237" w:type="dxa"/>
            <w:tcBorders>
              <w:top w:val="nil"/>
              <w:left w:val="nil"/>
              <w:bottom w:val="nil"/>
              <w:right w:val="nil"/>
            </w:tcBorders>
            <w:shd w:val="clear" w:color="auto" w:fill="auto"/>
            <w:tcMar>
              <w:top w:w="0" w:type="dxa"/>
              <w:left w:w="0" w:type="dxa"/>
              <w:bottom w:w="170" w:type="dxa"/>
              <w:right w:w="0" w:type="dxa"/>
            </w:tcMar>
          </w:tcPr>
          <w:p w14:paraId="01238897" w14:textId="77777777" w:rsidR="00A61011" w:rsidRPr="00B26994" w:rsidRDefault="00A61011" w:rsidP="00A61011">
            <w:pPr>
              <w:pStyle w:val="Abkuerzung"/>
            </w:pPr>
            <w:r>
              <w:t>Appellationsgericht</w:t>
            </w:r>
          </w:p>
        </w:tc>
      </w:tr>
      <w:tr w:rsidR="00A61011" w:rsidRPr="005C616F" w14:paraId="0AE94260"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38397DAC" w14:textId="77777777" w:rsidR="00A61011" w:rsidRPr="00B26994" w:rsidRDefault="00A61011" w:rsidP="00A61011">
            <w:pPr>
              <w:pStyle w:val="Abkuerzung"/>
            </w:pPr>
            <w:r w:rsidRPr="00B26994">
              <w:t>Art.</w:t>
            </w:r>
          </w:p>
        </w:tc>
        <w:tc>
          <w:tcPr>
            <w:tcW w:w="6237" w:type="dxa"/>
            <w:tcBorders>
              <w:top w:val="nil"/>
              <w:left w:val="nil"/>
              <w:bottom w:val="nil"/>
              <w:right w:val="nil"/>
            </w:tcBorders>
            <w:shd w:val="clear" w:color="auto" w:fill="auto"/>
            <w:tcMar>
              <w:top w:w="0" w:type="dxa"/>
              <w:left w:w="0" w:type="dxa"/>
              <w:bottom w:w="170" w:type="dxa"/>
              <w:right w:w="0" w:type="dxa"/>
            </w:tcMar>
          </w:tcPr>
          <w:p w14:paraId="1096F95E" w14:textId="77777777" w:rsidR="00A61011" w:rsidRPr="00B26994" w:rsidRDefault="00A61011" w:rsidP="00A61011">
            <w:pPr>
              <w:pStyle w:val="Abkuerzung"/>
            </w:pPr>
            <w:r w:rsidRPr="00B26994">
              <w:t>Artikel</w:t>
            </w:r>
          </w:p>
        </w:tc>
      </w:tr>
      <w:tr w:rsidR="00A61011" w:rsidRPr="005C616F" w14:paraId="08701EDE"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31A40B55" w14:textId="77777777" w:rsidR="00A61011" w:rsidRPr="00B26994" w:rsidRDefault="00A61011" w:rsidP="00A61011">
            <w:pPr>
              <w:pStyle w:val="Abkuerzung"/>
            </w:pPr>
            <w:r w:rsidRPr="00B26994">
              <w:t>AS</w:t>
            </w:r>
          </w:p>
        </w:tc>
        <w:tc>
          <w:tcPr>
            <w:tcW w:w="6237" w:type="dxa"/>
            <w:tcBorders>
              <w:top w:val="nil"/>
              <w:left w:val="nil"/>
              <w:bottom w:val="nil"/>
              <w:right w:val="nil"/>
            </w:tcBorders>
            <w:shd w:val="clear" w:color="auto" w:fill="auto"/>
            <w:tcMar>
              <w:top w:w="0" w:type="dxa"/>
              <w:left w:w="0" w:type="dxa"/>
              <w:bottom w:w="170" w:type="dxa"/>
              <w:right w:w="0" w:type="dxa"/>
            </w:tcMar>
          </w:tcPr>
          <w:p w14:paraId="7D538707" w14:textId="77777777" w:rsidR="00A61011" w:rsidRPr="00B26994" w:rsidRDefault="00A61011" w:rsidP="00A61011">
            <w:pPr>
              <w:pStyle w:val="Abkuerzung"/>
            </w:pPr>
            <w:r w:rsidRPr="00B26994">
              <w:t>Amtliche Sammlung des Bundesrechts</w:t>
            </w:r>
          </w:p>
        </w:tc>
      </w:tr>
      <w:tr w:rsidR="00A61011" w:rsidRPr="005C616F" w14:paraId="59CB5E62"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590E1717" w14:textId="77777777" w:rsidR="00A61011" w:rsidRPr="00B26994" w:rsidRDefault="00A61011" w:rsidP="00A61011">
            <w:pPr>
              <w:pStyle w:val="Abkuerzung"/>
            </w:pPr>
            <w:r w:rsidRPr="00B26994">
              <w:t>AT</w:t>
            </w:r>
          </w:p>
        </w:tc>
        <w:tc>
          <w:tcPr>
            <w:tcW w:w="6237" w:type="dxa"/>
            <w:tcBorders>
              <w:top w:val="nil"/>
              <w:left w:val="nil"/>
              <w:bottom w:val="nil"/>
              <w:right w:val="nil"/>
            </w:tcBorders>
            <w:shd w:val="clear" w:color="auto" w:fill="auto"/>
            <w:tcMar>
              <w:top w:w="0" w:type="dxa"/>
              <w:left w:w="0" w:type="dxa"/>
              <w:bottom w:w="170" w:type="dxa"/>
              <w:right w:w="0" w:type="dxa"/>
            </w:tcMar>
          </w:tcPr>
          <w:p w14:paraId="0C98B7AF" w14:textId="77777777" w:rsidR="00A61011" w:rsidRPr="00B26994" w:rsidRDefault="00A61011" w:rsidP="00A61011">
            <w:pPr>
              <w:pStyle w:val="Abkuerzung"/>
            </w:pPr>
            <w:r w:rsidRPr="00B26994">
              <w:t>Allgemeiner Teil</w:t>
            </w:r>
          </w:p>
        </w:tc>
      </w:tr>
      <w:tr w:rsidR="00A61011" w:rsidRPr="005C616F" w14:paraId="1A86ED98"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2F54F5B6" w14:textId="77777777" w:rsidR="00A61011" w:rsidRPr="00B26994" w:rsidRDefault="00A61011" w:rsidP="00A61011">
            <w:pPr>
              <w:pStyle w:val="Abkuerzung"/>
            </w:pPr>
            <w:r w:rsidRPr="00B26994">
              <w:t>Aufl.</w:t>
            </w:r>
          </w:p>
        </w:tc>
        <w:tc>
          <w:tcPr>
            <w:tcW w:w="6237" w:type="dxa"/>
            <w:tcBorders>
              <w:top w:val="nil"/>
              <w:left w:val="nil"/>
              <w:bottom w:val="nil"/>
              <w:right w:val="nil"/>
            </w:tcBorders>
            <w:shd w:val="clear" w:color="auto" w:fill="auto"/>
            <w:tcMar>
              <w:top w:w="0" w:type="dxa"/>
              <w:left w:w="0" w:type="dxa"/>
              <w:bottom w:w="170" w:type="dxa"/>
              <w:right w:w="0" w:type="dxa"/>
            </w:tcMar>
          </w:tcPr>
          <w:p w14:paraId="69631E1B" w14:textId="77777777" w:rsidR="00A61011" w:rsidRPr="00B26994" w:rsidRDefault="00A61011" w:rsidP="00A61011">
            <w:pPr>
              <w:pStyle w:val="Abkuerzung"/>
            </w:pPr>
            <w:r w:rsidRPr="00B26994">
              <w:t>Auflage</w:t>
            </w:r>
          </w:p>
        </w:tc>
      </w:tr>
      <w:tr w:rsidR="00A61011" w:rsidRPr="005C616F" w14:paraId="24D6F41F"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3F7099FE" w14:textId="77777777" w:rsidR="00A61011" w:rsidRPr="00B26994" w:rsidRDefault="00A61011" w:rsidP="00A61011">
            <w:pPr>
              <w:pStyle w:val="Abkuerzung"/>
            </w:pPr>
            <w:r w:rsidRPr="00B26994">
              <w:t>BBl</w:t>
            </w:r>
          </w:p>
        </w:tc>
        <w:tc>
          <w:tcPr>
            <w:tcW w:w="6237" w:type="dxa"/>
            <w:tcBorders>
              <w:top w:val="nil"/>
              <w:left w:val="nil"/>
              <w:bottom w:val="nil"/>
              <w:right w:val="nil"/>
            </w:tcBorders>
            <w:shd w:val="clear" w:color="auto" w:fill="auto"/>
            <w:tcMar>
              <w:top w:w="0" w:type="dxa"/>
              <w:left w:w="0" w:type="dxa"/>
              <w:bottom w:w="170" w:type="dxa"/>
              <w:right w:w="0" w:type="dxa"/>
            </w:tcMar>
          </w:tcPr>
          <w:p w14:paraId="5DD08DA6" w14:textId="77777777" w:rsidR="00A61011" w:rsidRPr="00B26994" w:rsidRDefault="00A61011" w:rsidP="00A61011">
            <w:pPr>
              <w:pStyle w:val="Abkuerzung"/>
            </w:pPr>
            <w:r w:rsidRPr="00B26994">
              <w:t>Bundesblatt der Schweizerischen Eidgenossenschaft</w:t>
            </w:r>
          </w:p>
        </w:tc>
      </w:tr>
      <w:tr w:rsidR="00A61011" w:rsidRPr="005C616F" w14:paraId="4AB3F5F5"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6560026E" w14:textId="77777777" w:rsidR="00A61011" w:rsidRPr="00B26994" w:rsidRDefault="00A61011" w:rsidP="00A61011">
            <w:pPr>
              <w:pStyle w:val="Abkuerzung"/>
            </w:pPr>
            <w:r w:rsidRPr="00B26994">
              <w:t>Bd.</w:t>
            </w:r>
          </w:p>
        </w:tc>
        <w:tc>
          <w:tcPr>
            <w:tcW w:w="6237" w:type="dxa"/>
            <w:tcBorders>
              <w:top w:val="nil"/>
              <w:left w:val="nil"/>
              <w:bottom w:val="nil"/>
              <w:right w:val="nil"/>
            </w:tcBorders>
            <w:shd w:val="clear" w:color="auto" w:fill="auto"/>
            <w:tcMar>
              <w:top w:w="0" w:type="dxa"/>
              <w:left w:w="0" w:type="dxa"/>
              <w:bottom w:w="170" w:type="dxa"/>
              <w:right w:w="0" w:type="dxa"/>
            </w:tcMar>
          </w:tcPr>
          <w:p w14:paraId="2F4A2681" w14:textId="77777777" w:rsidR="00A61011" w:rsidRPr="00B26994" w:rsidRDefault="00A61011" w:rsidP="00A61011">
            <w:pPr>
              <w:pStyle w:val="Abkuerzung"/>
            </w:pPr>
            <w:r w:rsidRPr="00B26994">
              <w:t>Band</w:t>
            </w:r>
          </w:p>
        </w:tc>
      </w:tr>
      <w:tr w:rsidR="00A61011" w:rsidRPr="005C616F" w14:paraId="05B84E48"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2403B4DA" w14:textId="77777777" w:rsidR="00A61011" w:rsidRPr="00B26994" w:rsidRDefault="00A61011" w:rsidP="00A61011">
            <w:pPr>
              <w:pStyle w:val="Abkuerzung"/>
            </w:pPr>
            <w:r w:rsidRPr="00B26994">
              <w:t>BezGer</w:t>
            </w:r>
          </w:p>
        </w:tc>
        <w:tc>
          <w:tcPr>
            <w:tcW w:w="6237" w:type="dxa"/>
            <w:tcBorders>
              <w:top w:val="nil"/>
              <w:left w:val="nil"/>
              <w:bottom w:val="nil"/>
              <w:right w:val="nil"/>
            </w:tcBorders>
            <w:shd w:val="clear" w:color="auto" w:fill="auto"/>
            <w:tcMar>
              <w:top w:w="0" w:type="dxa"/>
              <w:left w:w="0" w:type="dxa"/>
              <w:bottom w:w="170" w:type="dxa"/>
              <w:right w:w="0" w:type="dxa"/>
            </w:tcMar>
          </w:tcPr>
          <w:p w14:paraId="3D3DC4EB" w14:textId="77777777" w:rsidR="00A61011" w:rsidRPr="00B26994" w:rsidRDefault="00A61011" w:rsidP="00A61011">
            <w:pPr>
              <w:pStyle w:val="Abkuerzung"/>
            </w:pPr>
            <w:r w:rsidRPr="00B26994">
              <w:t>Bezirksgericht</w:t>
            </w:r>
          </w:p>
        </w:tc>
      </w:tr>
      <w:tr w:rsidR="00A61011" w:rsidRPr="005C616F" w14:paraId="0B6CAE31"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0A9FCAA5" w14:textId="77777777" w:rsidR="00A61011" w:rsidRPr="00B26994" w:rsidRDefault="00A61011" w:rsidP="00A61011">
            <w:pPr>
              <w:pStyle w:val="Abkuerzung"/>
            </w:pPr>
            <w:r w:rsidRPr="00B26994">
              <w:t>BG</w:t>
            </w:r>
          </w:p>
        </w:tc>
        <w:tc>
          <w:tcPr>
            <w:tcW w:w="6237" w:type="dxa"/>
            <w:tcBorders>
              <w:top w:val="nil"/>
              <w:left w:val="nil"/>
              <w:bottom w:val="nil"/>
              <w:right w:val="nil"/>
            </w:tcBorders>
            <w:shd w:val="clear" w:color="auto" w:fill="auto"/>
            <w:tcMar>
              <w:top w:w="0" w:type="dxa"/>
              <w:left w:w="0" w:type="dxa"/>
              <w:bottom w:w="170" w:type="dxa"/>
              <w:right w:w="0" w:type="dxa"/>
            </w:tcMar>
          </w:tcPr>
          <w:p w14:paraId="2F2DCF0B" w14:textId="77777777" w:rsidR="00A61011" w:rsidRPr="00B26994" w:rsidRDefault="00A61011" w:rsidP="00A61011">
            <w:pPr>
              <w:pStyle w:val="Abkuerzung"/>
            </w:pPr>
            <w:r w:rsidRPr="00B26994">
              <w:t>Bundesgesetz</w:t>
            </w:r>
          </w:p>
        </w:tc>
      </w:tr>
      <w:tr w:rsidR="00A61011" w:rsidRPr="005C616F" w14:paraId="1CEA7D36"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6363556E" w14:textId="39F85D23" w:rsidR="00A61011" w:rsidRPr="00B26994" w:rsidRDefault="00A61011" w:rsidP="00A61011">
            <w:pPr>
              <w:pStyle w:val="Abkuerzung"/>
            </w:pPr>
            <w:r w:rsidRPr="00B26994">
              <w:t>BGB</w:t>
            </w:r>
          </w:p>
        </w:tc>
        <w:tc>
          <w:tcPr>
            <w:tcW w:w="6237" w:type="dxa"/>
            <w:tcBorders>
              <w:top w:val="nil"/>
              <w:left w:val="nil"/>
              <w:bottom w:val="nil"/>
              <w:right w:val="nil"/>
            </w:tcBorders>
            <w:shd w:val="clear" w:color="auto" w:fill="auto"/>
            <w:tcMar>
              <w:top w:w="0" w:type="dxa"/>
              <w:left w:w="0" w:type="dxa"/>
              <w:bottom w:w="170" w:type="dxa"/>
              <w:right w:w="0" w:type="dxa"/>
            </w:tcMar>
          </w:tcPr>
          <w:p w14:paraId="74D14FAC" w14:textId="61E56FA1" w:rsidR="00A61011" w:rsidRPr="00B26994" w:rsidRDefault="00A61011" w:rsidP="00A61011">
            <w:pPr>
              <w:pStyle w:val="Abkuerzung"/>
            </w:pPr>
            <w:r w:rsidRPr="00B26994">
              <w:t>Bürgerliches Gesetzbuch für das Deutsche Reich vom 18. August 1896</w:t>
            </w:r>
          </w:p>
        </w:tc>
      </w:tr>
      <w:tr w:rsidR="00A61011" w:rsidRPr="005C616F" w14:paraId="68479925"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6B158E1B" w14:textId="77777777" w:rsidR="00A61011" w:rsidRPr="00B26994" w:rsidRDefault="00A61011" w:rsidP="00A61011">
            <w:pPr>
              <w:pStyle w:val="Abkuerzung"/>
            </w:pPr>
            <w:r w:rsidRPr="00B26994">
              <w:t>BGE</w:t>
            </w:r>
          </w:p>
        </w:tc>
        <w:tc>
          <w:tcPr>
            <w:tcW w:w="6237" w:type="dxa"/>
            <w:tcBorders>
              <w:top w:val="nil"/>
              <w:left w:val="nil"/>
              <w:bottom w:val="nil"/>
              <w:right w:val="nil"/>
            </w:tcBorders>
            <w:shd w:val="clear" w:color="auto" w:fill="auto"/>
            <w:tcMar>
              <w:top w:w="0" w:type="dxa"/>
              <w:left w:w="0" w:type="dxa"/>
              <w:bottom w:w="170" w:type="dxa"/>
              <w:right w:w="0" w:type="dxa"/>
            </w:tcMar>
          </w:tcPr>
          <w:p w14:paraId="34F9A54F" w14:textId="77777777" w:rsidR="00A61011" w:rsidRPr="00B26994" w:rsidRDefault="00A61011" w:rsidP="00A61011">
            <w:pPr>
              <w:pStyle w:val="Abkuerzung"/>
            </w:pPr>
            <w:r w:rsidRPr="00B26994">
              <w:t>Bundesgerichtsentscheid (ohne weitere Angabe: Entscheidungen des Schweizerischen Bundesgerichts, amtliche Sammlung)</w:t>
            </w:r>
          </w:p>
        </w:tc>
      </w:tr>
      <w:tr w:rsidR="00A61011" w:rsidRPr="005C616F" w14:paraId="01221C97"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1DCB0B4B" w14:textId="77777777" w:rsidR="00A61011" w:rsidRPr="00B26994" w:rsidRDefault="00A61011" w:rsidP="00A61011">
            <w:pPr>
              <w:pStyle w:val="Abkuerzung"/>
            </w:pPr>
            <w:r w:rsidRPr="00B26994">
              <w:t>BGer</w:t>
            </w:r>
          </w:p>
        </w:tc>
        <w:tc>
          <w:tcPr>
            <w:tcW w:w="6237" w:type="dxa"/>
            <w:tcBorders>
              <w:top w:val="nil"/>
              <w:left w:val="nil"/>
              <w:bottom w:val="nil"/>
              <w:right w:val="nil"/>
            </w:tcBorders>
            <w:shd w:val="clear" w:color="auto" w:fill="auto"/>
            <w:tcMar>
              <w:top w:w="0" w:type="dxa"/>
              <w:left w:w="0" w:type="dxa"/>
              <w:bottom w:w="170" w:type="dxa"/>
              <w:right w:w="0" w:type="dxa"/>
            </w:tcMar>
          </w:tcPr>
          <w:p w14:paraId="117CF079" w14:textId="77777777" w:rsidR="00A61011" w:rsidRPr="00B26994" w:rsidRDefault="00A61011" w:rsidP="00A61011">
            <w:pPr>
              <w:pStyle w:val="Abkuerzung"/>
            </w:pPr>
            <w:r w:rsidRPr="00B26994">
              <w:t>(Schweizerisches) Bundesgericht</w:t>
            </w:r>
          </w:p>
        </w:tc>
      </w:tr>
      <w:tr w:rsidR="00A61011" w:rsidRPr="005C616F" w14:paraId="7D88C6EF"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0C87987E" w14:textId="77777777" w:rsidR="00A61011" w:rsidRPr="00B26994" w:rsidRDefault="00A61011" w:rsidP="00A61011">
            <w:pPr>
              <w:pStyle w:val="Abkuerzung"/>
            </w:pPr>
            <w:r w:rsidRPr="00B26994">
              <w:t>BGG</w:t>
            </w:r>
          </w:p>
        </w:tc>
        <w:tc>
          <w:tcPr>
            <w:tcW w:w="6237" w:type="dxa"/>
            <w:tcBorders>
              <w:top w:val="nil"/>
              <w:left w:val="nil"/>
              <w:bottom w:val="nil"/>
              <w:right w:val="nil"/>
            </w:tcBorders>
            <w:shd w:val="clear" w:color="auto" w:fill="auto"/>
            <w:tcMar>
              <w:top w:w="0" w:type="dxa"/>
              <w:left w:w="0" w:type="dxa"/>
              <w:bottom w:w="170" w:type="dxa"/>
              <w:right w:w="0" w:type="dxa"/>
            </w:tcMar>
          </w:tcPr>
          <w:p w14:paraId="48F1C113" w14:textId="77777777" w:rsidR="00A61011" w:rsidRPr="00B26994" w:rsidRDefault="00A61011" w:rsidP="00A61011">
            <w:pPr>
              <w:pStyle w:val="Abkuerzung"/>
            </w:pPr>
            <w:r w:rsidRPr="00B26994">
              <w:t>BG über das Bundesgericht (Bundesgerichtsgesetz) vom 17. Juni 2005 (SR 173.110)</w:t>
            </w:r>
          </w:p>
        </w:tc>
      </w:tr>
      <w:tr w:rsidR="00A61011" w:rsidRPr="005C616F" w14:paraId="2E85A0B9"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42A59FB7" w14:textId="77777777" w:rsidR="00A61011" w:rsidRPr="00B26994" w:rsidRDefault="00A61011" w:rsidP="00A61011">
            <w:pPr>
              <w:pStyle w:val="Abkuerzung"/>
            </w:pPr>
            <w:r w:rsidRPr="00B26994">
              <w:t>BJM</w:t>
            </w:r>
          </w:p>
        </w:tc>
        <w:tc>
          <w:tcPr>
            <w:tcW w:w="6237" w:type="dxa"/>
            <w:tcBorders>
              <w:top w:val="nil"/>
              <w:left w:val="nil"/>
              <w:bottom w:val="nil"/>
              <w:right w:val="nil"/>
            </w:tcBorders>
            <w:shd w:val="clear" w:color="auto" w:fill="auto"/>
            <w:tcMar>
              <w:top w:w="0" w:type="dxa"/>
              <w:left w:w="0" w:type="dxa"/>
              <w:bottom w:w="170" w:type="dxa"/>
              <w:right w:w="0" w:type="dxa"/>
            </w:tcMar>
          </w:tcPr>
          <w:p w14:paraId="66ED092B" w14:textId="77777777" w:rsidR="00A61011" w:rsidRPr="00B26994" w:rsidRDefault="00A61011" w:rsidP="00A61011">
            <w:pPr>
              <w:pStyle w:val="Abkuerzung"/>
            </w:pPr>
            <w:r w:rsidRPr="00B26994">
              <w:t>Basler Juristische Mitteilungen (Basel)</w:t>
            </w:r>
          </w:p>
        </w:tc>
      </w:tr>
      <w:tr w:rsidR="00A61011" w:rsidRPr="005C616F" w14:paraId="438AFE62"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1421FF92" w14:textId="77777777" w:rsidR="00A61011" w:rsidRPr="00B26994" w:rsidRDefault="00A61011" w:rsidP="00A61011">
            <w:pPr>
              <w:pStyle w:val="Abkuerzung"/>
            </w:pPr>
            <w:r w:rsidRPr="00B26994">
              <w:t>BRB</w:t>
            </w:r>
          </w:p>
        </w:tc>
        <w:tc>
          <w:tcPr>
            <w:tcW w:w="6237" w:type="dxa"/>
            <w:tcBorders>
              <w:top w:val="nil"/>
              <w:left w:val="nil"/>
              <w:bottom w:val="nil"/>
              <w:right w:val="nil"/>
            </w:tcBorders>
            <w:shd w:val="clear" w:color="auto" w:fill="auto"/>
            <w:tcMar>
              <w:top w:w="0" w:type="dxa"/>
              <w:left w:w="0" w:type="dxa"/>
              <w:bottom w:w="170" w:type="dxa"/>
              <w:right w:w="0" w:type="dxa"/>
            </w:tcMar>
          </w:tcPr>
          <w:p w14:paraId="77564466" w14:textId="77777777" w:rsidR="00A61011" w:rsidRPr="00B26994" w:rsidRDefault="00A61011" w:rsidP="00A61011">
            <w:pPr>
              <w:pStyle w:val="Abkuerzung"/>
            </w:pPr>
            <w:r w:rsidRPr="00B26994">
              <w:t>Bundesratsbeschluss</w:t>
            </w:r>
          </w:p>
        </w:tc>
      </w:tr>
      <w:tr w:rsidR="00A61011" w:rsidRPr="005C616F" w14:paraId="24792BD3"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13F7DE86" w14:textId="77777777" w:rsidR="00A61011" w:rsidRPr="00B26994" w:rsidRDefault="00A61011" w:rsidP="00A61011">
            <w:pPr>
              <w:pStyle w:val="Abkuerzung"/>
            </w:pPr>
            <w:r w:rsidRPr="00B26994">
              <w:t>BV</w:t>
            </w:r>
          </w:p>
        </w:tc>
        <w:tc>
          <w:tcPr>
            <w:tcW w:w="6237" w:type="dxa"/>
            <w:tcBorders>
              <w:top w:val="nil"/>
              <w:left w:val="nil"/>
              <w:bottom w:val="nil"/>
              <w:right w:val="nil"/>
            </w:tcBorders>
            <w:shd w:val="clear" w:color="auto" w:fill="auto"/>
            <w:tcMar>
              <w:top w:w="0" w:type="dxa"/>
              <w:left w:w="0" w:type="dxa"/>
              <w:bottom w:w="170" w:type="dxa"/>
              <w:right w:w="0" w:type="dxa"/>
            </w:tcMar>
          </w:tcPr>
          <w:p w14:paraId="27207D71" w14:textId="77777777" w:rsidR="00A61011" w:rsidRPr="00B26994" w:rsidRDefault="00A61011" w:rsidP="00A61011">
            <w:pPr>
              <w:pStyle w:val="Abkuerzung"/>
            </w:pPr>
            <w:r w:rsidRPr="00B26994">
              <w:t xml:space="preserve">Bundesverfassung der Schweizerischen Eidgenossenschaft vom </w:t>
            </w:r>
            <w:r w:rsidRPr="00B26994">
              <w:br/>
              <w:t>18. April 1999 (SR 101)</w:t>
            </w:r>
          </w:p>
        </w:tc>
      </w:tr>
      <w:tr w:rsidR="00A61011" w:rsidRPr="005C616F" w14:paraId="7B6D0D3B"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50DDBE1E" w14:textId="77777777" w:rsidR="00A61011" w:rsidRDefault="00A61011" w:rsidP="00A61011">
            <w:pPr>
              <w:pStyle w:val="Abkuerzung"/>
            </w:pPr>
            <w:r>
              <w:lastRenderedPageBreak/>
              <w:t>BVGE</w:t>
            </w:r>
          </w:p>
        </w:tc>
        <w:tc>
          <w:tcPr>
            <w:tcW w:w="6237" w:type="dxa"/>
            <w:tcBorders>
              <w:top w:val="nil"/>
              <w:left w:val="nil"/>
              <w:bottom w:val="nil"/>
              <w:right w:val="nil"/>
            </w:tcBorders>
            <w:shd w:val="clear" w:color="auto" w:fill="auto"/>
            <w:tcMar>
              <w:top w:w="0" w:type="dxa"/>
              <w:left w:w="0" w:type="dxa"/>
              <w:bottom w:w="170" w:type="dxa"/>
              <w:right w:w="0" w:type="dxa"/>
            </w:tcMar>
          </w:tcPr>
          <w:p w14:paraId="65D36F98" w14:textId="77777777" w:rsidR="00A61011" w:rsidRPr="00B26994" w:rsidRDefault="00A61011" w:rsidP="00A61011">
            <w:pPr>
              <w:pStyle w:val="Abkuerzung"/>
            </w:pPr>
            <w:r>
              <w:t>Bundesverwaltungsgerichtsentscheid</w:t>
            </w:r>
            <w:r w:rsidRPr="00B26994">
              <w:t xml:space="preserve"> (ohne weitere Angabe: Entschei</w:t>
            </w:r>
            <w:r>
              <w:softHyphen/>
            </w:r>
            <w:r w:rsidRPr="00B26994">
              <w:t>dungen des Schweizerischen Bundes</w:t>
            </w:r>
            <w:r>
              <w:t>verwaltungs</w:t>
            </w:r>
            <w:r w:rsidRPr="00B26994">
              <w:t>gerichts, amtliche Sammlung)</w:t>
            </w:r>
          </w:p>
        </w:tc>
      </w:tr>
      <w:tr w:rsidR="00A61011" w:rsidRPr="005C616F" w14:paraId="0E85BBC4"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21A189AB" w14:textId="77777777" w:rsidR="00A61011" w:rsidRPr="00B26994" w:rsidRDefault="00A61011" w:rsidP="00A61011">
            <w:pPr>
              <w:pStyle w:val="Abkuerzung"/>
            </w:pPr>
            <w:r>
              <w:t>BVGer</w:t>
            </w:r>
          </w:p>
        </w:tc>
        <w:tc>
          <w:tcPr>
            <w:tcW w:w="6237" w:type="dxa"/>
            <w:tcBorders>
              <w:top w:val="nil"/>
              <w:left w:val="nil"/>
              <w:bottom w:val="nil"/>
              <w:right w:val="nil"/>
            </w:tcBorders>
            <w:shd w:val="clear" w:color="auto" w:fill="auto"/>
            <w:tcMar>
              <w:top w:w="0" w:type="dxa"/>
              <w:left w:w="0" w:type="dxa"/>
              <w:bottom w:w="170" w:type="dxa"/>
              <w:right w:w="0" w:type="dxa"/>
            </w:tcMar>
          </w:tcPr>
          <w:p w14:paraId="4D2B3B10" w14:textId="77777777" w:rsidR="00A61011" w:rsidRPr="00B26994" w:rsidRDefault="00A61011" w:rsidP="00A61011">
            <w:pPr>
              <w:pStyle w:val="Abkuerzung"/>
            </w:pPr>
            <w:r w:rsidRPr="00B26994">
              <w:t xml:space="preserve">(Schweizerisches) </w:t>
            </w:r>
            <w:r>
              <w:t>Bundesverwaltungsgericht</w:t>
            </w:r>
          </w:p>
        </w:tc>
      </w:tr>
      <w:tr w:rsidR="00A61011" w:rsidRPr="005C616F" w14:paraId="28BB2196"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1D104F9D" w14:textId="77777777" w:rsidR="00A61011" w:rsidRPr="00B26994" w:rsidRDefault="00A61011" w:rsidP="00A61011">
            <w:pPr>
              <w:pStyle w:val="Abkuerzung"/>
            </w:pPr>
            <w:r w:rsidRPr="00B26994">
              <w:t>BZP</w:t>
            </w:r>
          </w:p>
        </w:tc>
        <w:tc>
          <w:tcPr>
            <w:tcW w:w="6237" w:type="dxa"/>
            <w:tcBorders>
              <w:top w:val="nil"/>
              <w:left w:val="nil"/>
              <w:bottom w:val="nil"/>
              <w:right w:val="nil"/>
            </w:tcBorders>
            <w:shd w:val="clear" w:color="auto" w:fill="auto"/>
            <w:tcMar>
              <w:top w:w="0" w:type="dxa"/>
              <w:left w:w="0" w:type="dxa"/>
              <w:bottom w:w="170" w:type="dxa"/>
              <w:right w:w="0" w:type="dxa"/>
            </w:tcMar>
          </w:tcPr>
          <w:p w14:paraId="15CB063D" w14:textId="77777777" w:rsidR="00A61011" w:rsidRPr="00B26994" w:rsidRDefault="00A61011" w:rsidP="00A61011">
            <w:pPr>
              <w:pStyle w:val="Abkuerzung"/>
            </w:pPr>
            <w:r w:rsidRPr="00B26994">
              <w:t>BG über den Bundeszivilprozess vom 4. Dezember 1947 (SR 273)</w:t>
            </w:r>
          </w:p>
        </w:tc>
      </w:tr>
      <w:tr w:rsidR="00A61011" w:rsidRPr="00B26994" w14:paraId="2FDC68AB"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16824A7C" w14:textId="77777777" w:rsidR="00A61011" w:rsidRPr="00B26994" w:rsidRDefault="00A61011" w:rsidP="00A61011">
            <w:pPr>
              <w:pStyle w:val="Abkuerzung"/>
            </w:pPr>
            <w:r w:rsidRPr="00B26994">
              <w:t>CCfr</w:t>
            </w:r>
          </w:p>
        </w:tc>
        <w:tc>
          <w:tcPr>
            <w:tcW w:w="6237" w:type="dxa"/>
            <w:tcBorders>
              <w:top w:val="nil"/>
              <w:left w:val="nil"/>
              <w:bottom w:val="nil"/>
              <w:right w:val="nil"/>
            </w:tcBorders>
            <w:shd w:val="clear" w:color="auto" w:fill="auto"/>
            <w:tcMar>
              <w:top w:w="0" w:type="dxa"/>
              <w:left w:w="0" w:type="dxa"/>
              <w:bottom w:w="170" w:type="dxa"/>
              <w:right w:w="0" w:type="dxa"/>
            </w:tcMar>
          </w:tcPr>
          <w:p w14:paraId="1F703CE2" w14:textId="77777777" w:rsidR="00A61011" w:rsidRPr="00615242" w:rsidRDefault="00A61011" w:rsidP="00A61011">
            <w:pPr>
              <w:pStyle w:val="Abkuerzung"/>
              <w:rPr>
                <w:lang w:val="fr-CH"/>
              </w:rPr>
            </w:pPr>
            <w:r w:rsidRPr="00615242">
              <w:rPr>
                <w:lang w:val="fr-CH"/>
              </w:rPr>
              <w:t xml:space="preserve">Code civil français </w:t>
            </w:r>
            <w:proofErr w:type="spellStart"/>
            <w:r w:rsidRPr="00615242">
              <w:rPr>
                <w:lang w:val="fr-CH"/>
              </w:rPr>
              <w:t>vom</w:t>
            </w:r>
            <w:proofErr w:type="spellEnd"/>
            <w:r w:rsidRPr="00615242">
              <w:rPr>
                <w:lang w:val="fr-CH"/>
              </w:rPr>
              <w:t xml:space="preserve"> 21. März 1804</w:t>
            </w:r>
          </w:p>
        </w:tc>
      </w:tr>
      <w:tr w:rsidR="00A61011" w:rsidRPr="00B26994" w14:paraId="67B10D80"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35A8354C" w14:textId="77777777" w:rsidR="00A61011" w:rsidRPr="00B26994" w:rsidRDefault="00A61011" w:rsidP="00A61011">
            <w:pPr>
              <w:pStyle w:val="Abkuerzung"/>
            </w:pPr>
            <w:r w:rsidRPr="00B26994">
              <w:t>CCit</w:t>
            </w:r>
          </w:p>
        </w:tc>
        <w:tc>
          <w:tcPr>
            <w:tcW w:w="6237" w:type="dxa"/>
            <w:tcBorders>
              <w:top w:val="nil"/>
              <w:left w:val="nil"/>
              <w:bottom w:val="nil"/>
              <w:right w:val="nil"/>
            </w:tcBorders>
            <w:shd w:val="clear" w:color="auto" w:fill="auto"/>
            <w:tcMar>
              <w:top w:w="0" w:type="dxa"/>
              <w:left w:w="0" w:type="dxa"/>
              <w:bottom w:w="170" w:type="dxa"/>
              <w:right w:w="0" w:type="dxa"/>
            </w:tcMar>
          </w:tcPr>
          <w:p w14:paraId="111181E6" w14:textId="77777777" w:rsidR="00A61011" w:rsidRPr="00B26994" w:rsidRDefault="00A61011" w:rsidP="00A61011">
            <w:pPr>
              <w:pStyle w:val="Abkuerzung"/>
            </w:pPr>
            <w:r w:rsidRPr="00B26994">
              <w:t>Codice civile italiano vom 16. März 1942</w:t>
            </w:r>
          </w:p>
        </w:tc>
      </w:tr>
      <w:tr w:rsidR="00A61011" w:rsidRPr="005C616F" w14:paraId="1A438290"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0E5FC324" w14:textId="77777777" w:rsidR="00A61011" w:rsidRPr="00B26994" w:rsidRDefault="00A61011" w:rsidP="00A61011">
            <w:pPr>
              <w:pStyle w:val="Abkuerzung"/>
            </w:pPr>
            <w:r w:rsidRPr="00B26994">
              <w:t>CFR</w:t>
            </w:r>
          </w:p>
        </w:tc>
        <w:tc>
          <w:tcPr>
            <w:tcW w:w="6237" w:type="dxa"/>
            <w:tcBorders>
              <w:top w:val="nil"/>
              <w:left w:val="nil"/>
              <w:bottom w:val="nil"/>
              <w:right w:val="nil"/>
            </w:tcBorders>
            <w:shd w:val="clear" w:color="auto" w:fill="auto"/>
            <w:tcMar>
              <w:top w:w="0" w:type="dxa"/>
              <w:left w:w="0" w:type="dxa"/>
              <w:bottom w:w="170" w:type="dxa"/>
              <w:right w:w="0" w:type="dxa"/>
            </w:tcMar>
          </w:tcPr>
          <w:p w14:paraId="0ACDF52D" w14:textId="77777777" w:rsidR="00A61011" w:rsidRPr="00B26994" w:rsidRDefault="00A61011" w:rsidP="00A61011">
            <w:pPr>
              <w:pStyle w:val="Abkuerzung"/>
            </w:pPr>
            <w:r w:rsidRPr="00B26994">
              <w:t>Common Frame of Reference (= Gemeinsamer Referenzrahmen, GRR)</w:t>
            </w:r>
          </w:p>
        </w:tc>
      </w:tr>
      <w:tr w:rsidR="00A61011" w:rsidRPr="00B357B1" w14:paraId="47B61C4D"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2AF47F2B" w14:textId="77777777" w:rsidR="00A61011" w:rsidRPr="00B26994" w:rsidRDefault="00A61011" w:rsidP="00A61011">
            <w:pPr>
              <w:pStyle w:val="Abkuerzung"/>
            </w:pPr>
            <w:r>
              <w:t>CHK</w:t>
            </w:r>
          </w:p>
        </w:tc>
        <w:tc>
          <w:tcPr>
            <w:tcW w:w="6237" w:type="dxa"/>
            <w:tcBorders>
              <w:top w:val="nil"/>
              <w:left w:val="nil"/>
              <w:bottom w:val="nil"/>
              <w:right w:val="nil"/>
            </w:tcBorders>
            <w:shd w:val="clear" w:color="auto" w:fill="auto"/>
            <w:tcMar>
              <w:top w:w="0" w:type="dxa"/>
              <w:left w:w="0" w:type="dxa"/>
              <w:bottom w:w="170" w:type="dxa"/>
              <w:right w:w="0" w:type="dxa"/>
            </w:tcMar>
          </w:tcPr>
          <w:p w14:paraId="00BF5896" w14:textId="77777777" w:rsidR="00A61011" w:rsidRPr="00B357B1" w:rsidRDefault="00A61011" w:rsidP="00A61011">
            <w:pPr>
              <w:pStyle w:val="Abkuerzung"/>
            </w:pPr>
            <w:r w:rsidRPr="00B357B1">
              <w:t>Handkommentar zum Schweizer Privatrecht (Zürich)</w:t>
            </w:r>
          </w:p>
        </w:tc>
      </w:tr>
      <w:tr w:rsidR="00A61011" w:rsidRPr="00B26994" w14:paraId="4E111B80"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30689D73" w14:textId="77777777" w:rsidR="00A61011" w:rsidRPr="00B26994" w:rsidRDefault="00A61011" w:rsidP="00A61011">
            <w:pPr>
              <w:pStyle w:val="Abkuerzung"/>
            </w:pPr>
            <w:r w:rsidRPr="00B26994">
              <w:t>CISG</w:t>
            </w:r>
          </w:p>
        </w:tc>
        <w:tc>
          <w:tcPr>
            <w:tcW w:w="6237" w:type="dxa"/>
            <w:tcBorders>
              <w:top w:val="nil"/>
              <w:left w:val="nil"/>
              <w:bottom w:val="nil"/>
              <w:right w:val="nil"/>
            </w:tcBorders>
            <w:shd w:val="clear" w:color="auto" w:fill="auto"/>
            <w:tcMar>
              <w:top w:w="0" w:type="dxa"/>
              <w:left w:w="0" w:type="dxa"/>
              <w:bottom w:w="170" w:type="dxa"/>
              <w:right w:w="0" w:type="dxa"/>
            </w:tcMar>
          </w:tcPr>
          <w:p w14:paraId="386D2429" w14:textId="77777777" w:rsidR="00A61011" w:rsidRPr="00615242" w:rsidRDefault="00A61011" w:rsidP="00A61011">
            <w:pPr>
              <w:pStyle w:val="Abkuerzung"/>
              <w:rPr>
                <w:lang w:val="en-US"/>
              </w:rPr>
            </w:pPr>
            <w:r w:rsidRPr="00615242">
              <w:rPr>
                <w:lang w:val="en-US"/>
              </w:rPr>
              <w:t>United Nations Convention on Contracts for the International Sale of Goods (= WKR; SR 0.221.211.1)</w:t>
            </w:r>
          </w:p>
        </w:tc>
      </w:tr>
      <w:tr w:rsidR="00A61011" w:rsidRPr="005C616F" w14:paraId="75FA20FE"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0158D8D7" w14:textId="77777777" w:rsidR="00A61011" w:rsidRPr="00B26994" w:rsidRDefault="00A61011" w:rsidP="00A61011">
            <w:pPr>
              <w:pStyle w:val="Abkuerzung"/>
            </w:pPr>
            <w:r w:rsidRPr="00B26994">
              <w:t>CJ</w:t>
            </w:r>
          </w:p>
        </w:tc>
        <w:tc>
          <w:tcPr>
            <w:tcW w:w="6237" w:type="dxa"/>
            <w:tcBorders>
              <w:top w:val="nil"/>
              <w:left w:val="nil"/>
              <w:bottom w:val="nil"/>
              <w:right w:val="nil"/>
            </w:tcBorders>
            <w:shd w:val="clear" w:color="auto" w:fill="auto"/>
            <w:tcMar>
              <w:top w:w="0" w:type="dxa"/>
              <w:left w:w="0" w:type="dxa"/>
              <w:bottom w:w="170" w:type="dxa"/>
              <w:right w:w="0" w:type="dxa"/>
            </w:tcMar>
          </w:tcPr>
          <w:p w14:paraId="488373B1" w14:textId="77777777" w:rsidR="00A61011" w:rsidRPr="00B26994" w:rsidRDefault="00A61011" w:rsidP="00A61011">
            <w:pPr>
              <w:pStyle w:val="Abkuerzung"/>
            </w:pPr>
            <w:r w:rsidRPr="00B26994">
              <w:t>Cour de Justice (Genf)</w:t>
            </w:r>
          </w:p>
        </w:tc>
      </w:tr>
      <w:tr w:rsidR="00A61011" w:rsidRPr="005C616F" w14:paraId="678EBD14"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250C1CA3" w14:textId="77777777" w:rsidR="00A61011" w:rsidRPr="00B26994" w:rsidRDefault="00A61011" w:rsidP="00A61011">
            <w:pPr>
              <w:pStyle w:val="Abkuerzung"/>
            </w:pPr>
            <w:r w:rsidRPr="00B26994">
              <w:t>Diss.</w:t>
            </w:r>
          </w:p>
        </w:tc>
        <w:tc>
          <w:tcPr>
            <w:tcW w:w="6237" w:type="dxa"/>
            <w:tcBorders>
              <w:top w:val="nil"/>
              <w:left w:val="nil"/>
              <w:bottom w:val="nil"/>
              <w:right w:val="nil"/>
            </w:tcBorders>
            <w:shd w:val="clear" w:color="auto" w:fill="auto"/>
            <w:tcMar>
              <w:top w:w="0" w:type="dxa"/>
              <w:left w:w="0" w:type="dxa"/>
              <w:bottom w:w="170" w:type="dxa"/>
              <w:right w:w="0" w:type="dxa"/>
            </w:tcMar>
          </w:tcPr>
          <w:p w14:paraId="5CB359F4" w14:textId="77777777" w:rsidR="00A61011" w:rsidRPr="00B26994" w:rsidRDefault="00A61011" w:rsidP="00A61011">
            <w:pPr>
              <w:pStyle w:val="Abkuerzung"/>
            </w:pPr>
            <w:r w:rsidRPr="00B26994">
              <w:t>Dissertation</w:t>
            </w:r>
          </w:p>
        </w:tc>
      </w:tr>
      <w:tr w:rsidR="00A61011" w:rsidRPr="005C616F" w14:paraId="34C0E302"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32BB1643" w14:textId="77777777" w:rsidR="00A61011" w:rsidRPr="00C65494" w:rsidRDefault="00A61011" w:rsidP="00A61011">
            <w:pPr>
              <w:pStyle w:val="Abkuerzung"/>
            </w:pPr>
            <w:r w:rsidRPr="00C65494">
              <w:t>E.</w:t>
            </w:r>
          </w:p>
        </w:tc>
        <w:tc>
          <w:tcPr>
            <w:tcW w:w="6237" w:type="dxa"/>
            <w:tcBorders>
              <w:top w:val="nil"/>
              <w:left w:val="nil"/>
              <w:bottom w:val="nil"/>
              <w:right w:val="nil"/>
            </w:tcBorders>
            <w:shd w:val="clear" w:color="auto" w:fill="auto"/>
            <w:tcMar>
              <w:top w:w="0" w:type="dxa"/>
              <w:left w:w="0" w:type="dxa"/>
              <w:bottom w:w="170" w:type="dxa"/>
              <w:right w:w="0" w:type="dxa"/>
            </w:tcMar>
          </w:tcPr>
          <w:p w14:paraId="4E51D763" w14:textId="77777777" w:rsidR="00A61011" w:rsidRPr="00C65494" w:rsidRDefault="00A61011" w:rsidP="00A61011">
            <w:pPr>
              <w:pStyle w:val="Abkuerzung"/>
            </w:pPr>
            <w:r w:rsidRPr="00C65494">
              <w:t>Erwägung(en)</w:t>
            </w:r>
          </w:p>
        </w:tc>
      </w:tr>
      <w:tr w:rsidR="003151EE" w:rsidRPr="005C616F" w14:paraId="0CE7FFAF"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6FABCAB1" w14:textId="4A164A82" w:rsidR="003151EE" w:rsidRPr="00C65494" w:rsidRDefault="003151EE" w:rsidP="00A61011">
            <w:pPr>
              <w:pStyle w:val="Abkuerzung"/>
            </w:pPr>
            <w:r w:rsidRPr="00C65494">
              <w:t>EBK</w:t>
            </w:r>
          </w:p>
        </w:tc>
        <w:tc>
          <w:tcPr>
            <w:tcW w:w="6237" w:type="dxa"/>
            <w:tcBorders>
              <w:top w:val="nil"/>
              <w:left w:val="nil"/>
              <w:bottom w:val="nil"/>
              <w:right w:val="nil"/>
            </w:tcBorders>
            <w:shd w:val="clear" w:color="auto" w:fill="auto"/>
            <w:tcMar>
              <w:top w:w="0" w:type="dxa"/>
              <w:left w:w="0" w:type="dxa"/>
              <w:bottom w:w="170" w:type="dxa"/>
              <w:right w:w="0" w:type="dxa"/>
            </w:tcMar>
          </w:tcPr>
          <w:p w14:paraId="2C8BDE9D" w14:textId="1C0595FC" w:rsidR="003151EE" w:rsidRPr="00C65494" w:rsidRDefault="003151EE" w:rsidP="00A61011">
            <w:pPr>
              <w:pStyle w:val="Abkuerzung"/>
            </w:pPr>
            <w:r w:rsidRPr="00C65494">
              <w:t>Eidgenössische Bankenkommission (</w:t>
            </w:r>
            <w:r w:rsidR="00771C18" w:rsidRPr="00C65494">
              <w:t xml:space="preserve">1935 </w:t>
            </w:r>
            <w:r w:rsidR="00DD558E" w:rsidRPr="00C65494">
              <w:t>bis 2008)</w:t>
            </w:r>
          </w:p>
        </w:tc>
      </w:tr>
      <w:tr w:rsidR="00A61011" w:rsidRPr="005C616F" w14:paraId="639A578E"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22AA6440" w14:textId="77777777" w:rsidR="00A61011" w:rsidRPr="00C65494" w:rsidRDefault="00A61011" w:rsidP="00A61011">
            <w:pPr>
              <w:pStyle w:val="Abkuerzung"/>
            </w:pPr>
            <w:r w:rsidRPr="00C65494">
              <w:t>EG</w:t>
            </w:r>
          </w:p>
        </w:tc>
        <w:tc>
          <w:tcPr>
            <w:tcW w:w="6237" w:type="dxa"/>
            <w:tcBorders>
              <w:top w:val="nil"/>
              <w:left w:val="nil"/>
              <w:bottom w:val="nil"/>
              <w:right w:val="nil"/>
            </w:tcBorders>
            <w:shd w:val="clear" w:color="auto" w:fill="auto"/>
            <w:tcMar>
              <w:top w:w="0" w:type="dxa"/>
              <w:left w:w="0" w:type="dxa"/>
              <w:bottom w:w="170" w:type="dxa"/>
              <w:right w:w="0" w:type="dxa"/>
            </w:tcMar>
          </w:tcPr>
          <w:p w14:paraId="7DD4B114" w14:textId="77777777" w:rsidR="00A61011" w:rsidRPr="00C65494" w:rsidRDefault="00A61011" w:rsidP="00A61011">
            <w:pPr>
              <w:pStyle w:val="Abkuerzung"/>
            </w:pPr>
            <w:r w:rsidRPr="00C65494">
              <w:t>Europäische Gemeinschaft(en)</w:t>
            </w:r>
          </w:p>
        </w:tc>
      </w:tr>
      <w:tr w:rsidR="00A61011" w:rsidRPr="005C616F" w14:paraId="0EC359BC"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6959D77A" w14:textId="77777777" w:rsidR="00A61011" w:rsidRPr="00B26994" w:rsidRDefault="00A61011" w:rsidP="00A61011">
            <w:pPr>
              <w:pStyle w:val="Abkuerzung"/>
            </w:pPr>
            <w:r w:rsidRPr="00B26994">
              <w:t>Einl.</w:t>
            </w:r>
          </w:p>
        </w:tc>
        <w:tc>
          <w:tcPr>
            <w:tcW w:w="6237" w:type="dxa"/>
            <w:tcBorders>
              <w:top w:val="nil"/>
              <w:left w:val="nil"/>
              <w:bottom w:val="nil"/>
              <w:right w:val="nil"/>
            </w:tcBorders>
            <w:shd w:val="clear" w:color="auto" w:fill="auto"/>
            <w:tcMar>
              <w:top w:w="0" w:type="dxa"/>
              <w:left w:w="0" w:type="dxa"/>
              <w:bottom w:w="170" w:type="dxa"/>
              <w:right w:w="0" w:type="dxa"/>
            </w:tcMar>
          </w:tcPr>
          <w:p w14:paraId="36AC659F" w14:textId="77777777" w:rsidR="00A61011" w:rsidRPr="00B26994" w:rsidRDefault="00A61011" w:rsidP="00A61011">
            <w:pPr>
              <w:pStyle w:val="Abkuerzung"/>
            </w:pPr>
            <w:r w:rsidRPr="00B26994">
              <w:t>Einleitung</w:t>
            </w:r>
          </w:p>
        </w:tc>
      </w:tr>
      <w:tr w:rsidR="00A61011" w:rsidRPr="005C616F" w14:paraId="1700EAD8"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422D8E0A" w14:textId="77777777" w:rsidR="00A61011" w:rsidRPr="00B26994" w:rsidRDefault="00A61011" w:rsidP="00A61011">
            <w:pPr>
              <w:pStyle w:val="Abkuerzung"/>
            </w:pPr>
            <w:r w:rsidRPr="00B26994">
              <w:t>EU</w:t>
            </w:r>
          </w:p>
        </w:tc>
        <w:tc>
          <w:tcPr>
            <w:tcW w:w="6237" w:type="dxa"/>
            <w:tcBorders>
              <w:top w:val="nil"/>
              <w:left w:val="nil"/>
              <w:bottom w:val="nil"/>
              <w:right w:val="nil"/>
            </w:tcBorders>
            <w:shd w:val="clear" w:color="auto" w:fill="auto"/>
            <w:tcMar>
              <w:top w:w="0" w:type="dxa"/>
              <w:left w:w="0" w:type="dxa"/>
              <w:bottom w:w="170" w:type="dxa"/>
              <w:right w:w="0" w:type="dxa"/>
            </w:tcMar>
          </w:tcPr>
          <w:p w14:paraId="68AEDA7D" w14:textId="77777777" w:rsidR="00A61011" w:rsidRPr="00B26994" w:rsidRDefault="00A61011" w:rsidP="00A61011">
            <w:pPr>
              <w:pStyle w:val="Abkuerzung"/>
            </w:pPr>
            <w:r w:rsidRPr="00B26994">
              <w:t>Europäische Union</w:t>
            </w:r>
          </w:p>
        </w:tc>
      </w:tr>
      <w:tr w:rsidR="00A61011" w:rsidRPr="005C616F" w14:paraId="3D33F02A"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193E167F" w14:textId="77777777" w:rsidR="00A61011" w:rsidRPr="00B26994" w:rsidRDefault="00A61011" w:rsidP="00A61011">
            <w:pPr>
              <w:pStyle w:val="Abkuerzung"/>
            </w:pPr>
            <w:r w:rsidRPr="00B26994">
              <w:t>EuZW</w:t>
            </w:r>
          </w:p>
        </w:tc>
        <w:tc>
          <w:tcPr>
            <w:tcW w:w="6237" w:type="dxa"/>
            <w:tcBorders>
              <w:top w:val="nil"/>
              <w:left w:val="nil"/>
              <w:bottom w:val="nil"/>
              <w:right w:val="nil"/>
            </w:tcBorders>
            <w:shd w:val="clear" w:color="auto" w:fill="auto"/>
            <w:tcMar>
              <w:top w:w="0" w:type="dxa"/>
              <w:left w:w="0" w:type="dxa"/>
              <w:bottom w:w="170" w:type="dxa"/>
              <w:right w:w="0" w:type="dxa"/>
            </w:tcMar>
          </w:tcPr>
          <w:p w14:paraId="7DF1B82F" w14:textId="77777777" w:rsidR="00A61011" w:rsidRPr="00B26994" w:rsidRDefault="00A61011" w:rsidP="00A61011">
            <w:pPr>
              <w:pStyle w:val="Abkuerzung"/>
            </w:pPr>
            <w:r w:rsidRPr="00B26994">
              <w:t>Europäische Zeitschrift für Wirtschaftsrecht (München/Frankfurt a.M.)</w:t>
            </w:r>
          </w:p>
        </w:tc>
      </w:tr>
      <w:tr w:rsidR="00A61011" w:rsidRPr="005C616F" w14:paraId="5ED170C0"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0C91564D" w14:textId="77777777" w:rsidR="00A61011" w:rsidRPr="00B26994" w:rsidRDefault="00A61011" w:rsidP="00A61011">
            <w:pPr>
              <w:pStyle w:val="Abkuerzung"/>
            </w:pPr>
            <w:r w:rsidRPr="00B26994">
              <w:t>EWR</w:t>
            </w:r>
          </w:p>
        </w:tc>
        <w:tc>
          <w:tcPr>
            <w:tcW w:w="6237" w:type="dxa"/>
            <w:tcBorders>
              <w:top w:val="nil"/>
              <w:left w:val="nil"/>
              <w:bottom w:val="nil"/>
              <w:right w:val="nil"/>
            </w:tcBorders>
            <w:shd w:val="clear" w:color="auto" w:fill="auto"/>
            <w:tcMar>
              <w:top w:w="0" w:type="dxa"/>
              <w:left w:w="0" w:type="dxa"/>
              <w:bottom w:w="170" w:type="dxa"/>
              <w:right w:w="0" w:type="dxa"/>
            </w:tcMar>
          </w:tcPr>
          <w:p w14:paraId="3EA86FAF" w14:textId="77777777" w:rsidR="00A61011" w:rsidRPr="00B26994" w:rsidRDefault="00A61011" w:rsidP="00A61011">
            <w:pPr>
              <w:pStyle w:val="Abkuerzung"/>
            </w:pPr>
            <w:r w:rsidRPr="00B26994">
              <w:t>Europäischer Wirtschaftsraum</w:t>
            </w:r>
          </w:p>
        </w:tc>
      </w:tr>
      <w:tr w:rsidR="00A61011" w:rsidRPr="005C616F" w14:paraId="7A575768"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5371EB61" w14:textId="77777777" w:rsidR="00A61011" w:rsidRPr="00B26994" w:rsidRDefault="00A61011" w:rsidP="00A61011">
            <w:pPr>
              <w:pStyle w:val="Abkuerzung"/>
            </w:pPr>
            <w:r w:rsidRPr="00B26994">
              <w:t>E-ZGB (Sachenrecht)</w:t>
            </w:r>
          </w:p>
        </w:tc>
        <w:tc>
          <w:tcPr>
            <w:tcW w:w="6237" w:type="dxa"/>
            <w:tcBorders>
              <w:top w:val="nil"/>
              <w:left w:val="nil"/>
              <w:bottom w:val="nil"/>
              <w:right w:val="nil"/>
            </w:tcBorders>
            <w:shd w:val="clear" w:color="auto" w:fill="auto"/>
            <w:tcMar>
              <w:top w:w="0" w:type="dxa"/>
              <w:left w:w="0" w:type="dxa"/>
              <w:bottom w:w="170" w:type="dxa"/>
              <w:right w:w="0" w:type="dxa"/>
            </w:tcMar>
          </w:tcPr>
          <w:p w14:paraId="545FCD64" w14:textId="77777777" w:rsidR="00A61011" w:rsidRPr="00B26994" w:rsidRDefault="00A61011" w:rsidP="00A61011">
            <w:pPr>
              <w:pStyle w:val="Abkuerzung"/>
            </w:pPr>
            <w:r w:rsidRPr="00B26994">
              <w:t>Entwurf zur Änderung des ZGB (Register-Schuldbrief und weitere Änderungen im Sachenrecht) vom 27. Juni 2007 (BBl 2007, S. 5283 ff. [Botschaft] und 5347 ff. [Entwurf])</w:t>
            </w:r>
          </w:p>
        </w:tc>
      </w:tr>
      <w:tr w:rsidR="00A61011" w:rsidRPr="005C616F" w14:paraId="1EF6D5BF"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03C12812" w14:textId="77777777" w:rsidR="00A61011" w:rsidRPr="00B26994" w:rsidRDefault="00A61011" w:rsidP="00A61011">
            <w:pPr>
              <w:pStyle w:val="Abkuerzung"/>
            </w:pPr>
            <w:r w:rsidRPr="00B26994">
              <w:t>E-ZPO</w:t>
            </w:r>
          </w:p>
        </w:tc>
        <w:tc>
          <w:tcPr>
            <w:tcW w:w="6237" w:type="dxa"/>
            <w:tcBorders>
              <w:top w:val="nil"/>
              <w:left w:val="nil"/>
              <w:bottom w:val="nil"/>
              <w:right w:val="nil"/>
            </w:tcBorders>
            <w:shd w:val="clear" w:color="auto" w:fill="auto"/>
            <w:tcMar>
              <w:top w:w="0" w:type="dxa"/>
              <w:left w:w="0" w:type="dxa"/>
              <w:bottom w:w="170" w:type="dxa"/>
              <w:right w:w="0" w:type="dxa"/>
            </w:tcMar>
          </w:tcPr>
          <w:p w14:paraId="242AF49C" w14:textId="77777777" w:rsidR="00A61011" w:rsidRPr="00B26994" w:rsidRDefault="00A61011" w:rsidP="00A61011">
            <w:pPr>
              <w:pStyle w:val="Abkuerzung"/>
            </w:pPr>
            <w:r w:rsidRPr="00B26994">
              <w:t xml:space="preserve">Entwurf zu einer </w:t>
            </w:r>
            <w:proofErr w:type="gramStart"/>
            <w:r w:rsidRPr="00B26994">
              <w:t>Schweizerischen</w:t>
            </w:r>
            <w:proofErr w:type="gramEnd"/>
            <w:r w:rsidRPr="00B26994">
              <w:t xml:space="preserve"> Zivilprozessordnung vom </w:t>
            </w:r>
            <w:r>
              <w:br/>
            </w:r>
            <w:r w:rsidRPr="00B26994">
              <w:t>28. Juni 2006 (BBl 2006, S. 7221 ff. [Botschaft] und 7413 ff. [Entwurf])</w:t>
            </w:r>
          </w:p>
        </w:tc>
      </w:tr>
      <w:tr w:rsidR="0029758F" w:rsidRPr="005C616F" w14:paraId="638FF126"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129D3047" w14:textId="1C917D0F" w:rsidR="0029758F" w:rsidRPr="00B26994" w:rsidRDefault="0029758F" w:rsidP="00A61011">
            <w:pPr>
              <w:pStyle w:val="Abkuerzung"/>
            </w:pPr>
            <w:r>
              <w:t>FATF</w:t>
            </w:r>
          </w:p>
        </w:tc>
        <w:tc>
          <w:tcPr>
            <w:tcW w:w="6237" w:type="dxa"/>
            <w:tcBorders>
              <w:top w:val="nil"/>
              <w:left w:val="nil"/>
              <w:bottom w:val="nil"/>
              <w:right w:val="nil"/>
            </w:tcBorders>
            <w:shd w:val="clear" w:color="auto" w:fill="auto"/>
            <w:tcMar>
              <w:top w:w="0" w:type="dxa"/>
              <w:left w:w="0" w:type="dxa"/>
              <w:bottom w:w="170" w:type="dxa"/>
              <w:right w:w="0" w:type="dxa"/>
            </w:tcMar>
          </w:tcPr>
          <w:p w14:paraId="3351C8C5" w14:textId="1EA2B78A" w:rsidR="0029758F" w:rsidRPr="00B26994" w:rsidRDefault="0029758F" w:rsidP="00A61011">
            <w:pPr>
              <w:pStyle w:val="Abkuerzung"/>
            </w:pPr>
            <w:r>
              <w:t>Financial Action Task Force (on Money Laundering)</w:t>
            </w:r>
            <w:r w:rsidR="00552C9C">
              <w:t xml:space="preserve"> </w:t>
            </w:r>
            <w:proofErr w:type="gramStart"/>
            <w:r w:rsidR="00552C9C">
              <w:t>( =</w:t>
            </w:r>
            <w:proofErr w:type="gramEnd"/>
            <w:r w:rsidR="00552C9C">
              <w:t xml:space="preserve"> GAFI)</w:t>
            </w:r>
          </w:p>
        </w:tc>
      </w:tr>
      <w:tr w:rsidR="00A61011" w:rsidRPr="005C616F" w14:paraId="56EE446F"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7E72C864" w14:textId="77777777" w:rsidR="00A61011" w:rsidRPr="00B26994" w:rsidRDefault="00A61011" w:rsidP="00A61011">
            <w:pPr>
              <w:pStyle w:val="Abkuerzung"/>
            </w:pPr>
            <w:r w:rsidRPr="00B26994">
              <w:t>FG</w:t>
            </w:r>
          </w:p>
        </w:tc>
        <w:tc>
          <w:tcPr>
            <w:tcW w:w="6237" w:type="dxa"/>
            <w:tcBorders>
              <w:top w:val="nil"/>
              <w:left w:val="nil"/>
              <w:bottom w:val="nil"/>
              <w:right w:val="nil"/>
            </w:tcBorders>
            <w:shd w:val="clear" w:color="auto" w:fill="auto"/>
            <w:tcMar>
              <w:top w:w="0" w:type="dxa"/>
              <w:left w:w="0" w:type="dxa"/>
              <w:bottom w:w="170" w:type="dxa"/>
              <w:right w:w="0" w:type="dxa"/>
            </w:tcMar>
          </w:tcPr>
          <w:p w14:paraId="147E9386" w14:textId="77777777" w:rsidR="00A61011" w:rsidRPr="00B26994" w:rsidRDefault="00A61011" w:rsidP="00A61011">
            <w:pPr>
              <w:pStyle w:val="Abkuerzung"/>
            </w:pPr>
            <w:r w:rsidRPr="00B26994">
              <w:t>Festgabe</w:t>
            </w:r>
          </w:p>
        </w:tc>
      </w:tr>
      <w:tr w:rsidR="0029758F" w:rsidRPr="005C616F" w14:paraId="59ECE328"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3CA0D843" w14:textId="7158750B" w:rsidR="0029758F" w:rsidRPr="00B26994" w:rsidRDefault="0029758F" w:rsidP="00A61011">
            <w:pPr>
              <w:pStyle w:val="Abkuerzung"/>
            </w:pPr>
            <w:r>
              <w:t>FINMA</w:t>
            </w:r>
          </w:p>
        </w:tc>
        <w:tc>
          <w:tcPr>
            <w:tcW w:w="6237" w:type="dxa"/>
            <w:tcBorders>
              <w:top w:val="nil"/>
              <w:left w:val="nil"/>
              <w:bottom w:val="nil"/>
              <w:right w:val="nil"/>
            </w:tcBorders>
            <w:shd w:val="clear" w:color="auto" w:fill="auto"/>
            <w:tcMar>
              <w:top w:w="0" w:type="dxa"/>
              <w:left w:w="0" w:type="dxa"/>
              <w:bottom w:w="170" w:type="dxa"/>
              <w:right w:w="0" w:type="dxa"/>
            </w:tcMar>
          </w:tcPr>
          <w:p w14:paraId="01955BBC" w14:textId="70342768" w:rsidR="0029758F" w:rsidRPr="00B26994" w:rsidRDefault="0029758F" w:rsidP="00A61011">
            <w:pPr>
              <w:pStyle w:val="Abkuerzung"/>
            </w:pPr>
            <w:r>
              <w:t>Schweizerische Finanzmarktaufsicht</w:t>
            </w:r>
          </w:p>
        </w:tc>
      </w:tr>
      <w:tr w:rsidR="00457372" w:rsidRPr="005C616F" w14:paraId="62D54F50"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59EC7CC1" w14:textId="5D741339" w:rsidR="00457372" w:rsidRPr="00B26994" w:rsidRDefault="00457372" w:rsidP="00A61011">
            <w:pPr>
              <w:pStyle w:val="Abkuerzung"/>
            </w:pPr>
            <w:r>
              <w:t>FinfraG</w:t>
            </w:r>
          </w:p>
        </w:tc>
        <w:tc>
          <w:tcPr>
            <w:tcW w:w="6237" w:type="dxa"/>
            <w:tcBorders>
              <w:top w:val="nil"/>
              <w:left w:val="nil"/>
              <w:bottom w:val="nil"/>
              <w:right w:val="nil"/>
            </w:tcBorders>
            <w:shd w:val="clear" w:color="auto" w:fill="auto"/>
            <w:tcMar>
              <w:top w:w="0" w:type="dxa"/>
              <w:left w:w="0" w:type="dxa"/>
              <w:bottom w:w="170" w:type="dxa"/>
              <w:right w:w="0" w:type="dxa"/>
            </w:tcMar>
          </w:tcPr>
          <w:p w14:paraId="607AD1F3" w14:textId="3F60FBC2" w:rsidR="00457372" w:rsidRPr="00B26994" w:rsidRDefault="00901A9B" w:rsidP="00A61011">
            <w:pPr>
              <w:pStyle w:val="Abkuerzung"/>
            </w:pPr>
            <w:r>
              <w:t>BG über die Finanzmarktinftrastruktu</w:t>
            </w:r>
            <w:r w:rsidR="00625BD3">
              <w:t>r</w:t>
            </w:r>
            <w:r>
              <w:t xml:space="preserve">en und das Marktverhalten im Effekten- und Derivativehandel </w:t>
            </w:r>
            <w:r w:rsidR="00625BD3">
              <w:t>(Finanzmarktinfrastrukturgesetz) vom 19. Juni 2015</w:t>
            </w:r>
            <w:r w:rsidR="00D775EF">
              <w:t xml:space="preserve"> (SR 958.1)</w:t>
            </w:r>
          </w:p>
        </w:tc>
      </w:tr>
      <w:tr w:rsidR="00A61011" w:rsidRPr="005C616F" w14:paraId="090F3B80"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3D6B4550" w14:textId="77777777" w:rsidR="00A61011" w:rsidRPr="00B26994" w:rsidRDefault="00A61011" w:rsidP="00A61011">
            <w:pPr>
              <w:pStyle w:val="Abkuerzung"/>
            </w:pPr>
            <w:r w:rsidRPr="00B26994">
              <w:t>FS</w:t>
            </w:r>
          </w:p>
        </w:tc>
        <w:tc>
          <w:tcPr>
            <w:tcW w:w="6237" w:type="dxa"/>
            <w:tcBorders>
              <w:top w:val="nil"/>
              <w:left w:val="nil"/>
              <w:bottom w:val="nil"/>
              <w:right w:val="nil"/>
            </w:tcBorders>
            <w:shd w:val="clear" w:color="auto" w:fill="auto"/>
            <w:tcMar>
              <w:top w:w="0" w:type="dxa"/>
              <w:left w:w="0" w:type="dxa"/>
              <w:bottom w:w="170" w:type="dxa"/>
              <w:right w:w="0" w:type="dxa"/>
            </w:tcMar>
          </w:tcPr>
          <w:p w14:paraId="574EE760" w14:textId="77777777" w:rsidR="00A61011" w:rsidRPr="00B26994" w:rsidRDefault="00A61011" w:rsidP="00A61011">
            <w:pPr>
              <w:pStyle w:val="Abkuerzung"/>
            </w:pPr>
            <w:r w:rsidRPr="00B26994">
              <w:t>Festschrift</w:t>
            </w:r>
          </w:p>
        </w:tc>
      </w:tr>
      <w:tr w:rsidR="00552C9C" w:rsidRPr="005C616F" w14:paraId="28644A82"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2D441AE3" w14:textId="485C86BF" w:rsidR="00552C9C" w:rsidRPr="00B26994" w:rsidDel="00486F09" w:rsidRDefault="00552C9C" w:rsidP="00A61011">
            <w:pPr>
              <w:pStyle w:val="Abkuerzung"/>
            </w:pPr>
            <w:r>
              <w:t>GAFI</w:t>
            </w:r>
          </w:p>
        </w:tc>
        <w:tc>
          <w:tcPr>
            <w:tcW w:w="6237" w:type="dxa"/>
            <w:tcBorders>
              <w:top w:val="nil"/>
              <w:left w:val="nil"/>
              <w:bottom w:val="nil"/>
              <w:right w:val="nil"/>
            </w:tcBorders>
            <w:shd w:val="clear" w:color="auto" w:fill="auto"/>
            <w:tcMar>
              <w:top w:w="0" w:type="dxa"/>
              <w:left w:w="0" w:type="dxa"/>
              <w:bottom w:w="170" w:type="dxa"/>
              <w:right w:w="0" w:type="dxa"/>
            </w:tcMar>
          </w:tcPr>
          <w:p w14:paraId="28C854A7" w14:textId="0A67EE46" w:rsidR="00552C9C" w:rsidRPr="00B26994" w:rsidDel="00486F09" w:rsidRDefault="00552C9C" w:rsidP="00A61011">
            <w:pPr>
              <w:pStyle w:val="Abkuerzung"/>
            </w:pPr>
            <w:r w:rsidRPr="00552C9C">
              <w:t>Groupe d'action financière</w:t>
            </w:r>
            <w:r w:rsidR="0050127E">
              <w:t xml:space="preserve"> </w:t>
            </w:r>
            <w:proofErr w:type="gramStart"/>
            <w:r w:rsidR="0050127E">
              <w:t>( =</w:t>
            </w:r>
            <w:proofErr w:type="gramEnd"/>
            <w:r w:rsidR="0050127E">
              <w:t xml:space="preserve"> FATF)</w:t>
            </w:r>
          </w:p>
        </w:tc>
      </w:tr>
      <w:tr w:rsidR="00A61011" w:rsidRPr="005C616F" w14:paraId="2F4DFD72"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0B3A2D44" w14:textId="77777777" w:rsidR="00A61011" w:rsidRPr="00B26994" w:rsidRDefault="00A61011" w:rsidP="00A61011">
            <w:pPr>
              <w:pStyle w:val="Abkuerzung"/>
            </w:pPr>
            <w:r>
              <w:t>GesKR</w:t>
            </w:r>
          </w:p>
        </w:tc>
        <w:tc>
          <w:tcPr>
            <w:tcW w:w="6237" w:type="dxa"/>
            <w:tcBorders>
              <w:top w:val="nil"/>
              <w:left w:val="nil"/>
              <w:bottom w:val="nil"/>
              <w:right w:val="nil"/>
            </w:tcBorders>
            <w:shd w:val="clear" w:color="auto" w:fill="auto"/>
            <w:tcMar>
              <w:top w:w="0" w:type="dxa"/>
              <w:left w:w="0" w:type="dxa"/>
              <w:bottom w:w="170" w:type="dxa"/>
              <w:right w:w="0" w:type="dxa"/>
            </w:tcMar>
          </w:tcPr>
          <w:p w14:paraId="51E73E4D" w14:textId="77777777" w:rsidR="00A61011" w:rsidRPr="00B26994" w:rsidRDefault="00A61011" w:rsidP="00A61011">
            <w:pPr>
              <w:pStyle w:val="Abkuerzung"/>
            </w:pPr>
            <w:r>
              <w:t>Zeitschrift für Gesellschafts- und Kapitalmarktrecht (Zürich)</w:t>
            </w:r>
          </w:p>
        </w:tc>
      </w:tr>
      <w:tr w:rsidR="00A61011" w:rsidRPr="005C616F" w14:paraId="48B765E6"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029F4C31" w14:textId="77777777" w:rsidR="00A61011" w:rsidRPr="00B26994" w:rsidRDefault="00A61011" w:rsidP="00A61011">
            <w:pPr>
              <w:pStyle w:val="Abkuerzung"/>
            </w:pPr>
            <w:r w:rsidRPr="00B26994">
              <w:t>GewGer</w:t>
            </w:r>
          </w:p>
        </w:tc>
        <w:tc>
          <w:tcPr>
            <w:tcW w:w="6237" w:type="dxa"/>
            <w:tcBorders>
              <w:top w:val="nil"/>
              <w:left w:val="nil"/>
              <w:bottom w:val="nil"/>
              <w:right w:val="nil"/>
            </w:tcBorders>
            <w:shd w:val="clear" w:color="auto" w:fill="auto"/>
            <w:tcMar>
              <w:top w:w="0" w:type="dxa"/>
              <w:left w:w="0" w:type="dxa"/>
              <w:bottom w:w="170" w:type="dxa"/>
              <w:right w:w="0" w:type="dxa"/>
            </w:tcMar>
          </w:tcPr>
          <w:p w14:paraId="343AA421" w14:textId="77777777" w:rsidR="00A61011" w:rsidRPr="00B26994" w:rsidRDefault="00A61011" w:rsidP="00A61011">
            <w:pPr>
              <w:pStyle w:val="Abkuerzung"/>
            </w:pPr>
            <w:r w:rsidRPr="00B26994">
              <w:t>Gewerbegericht</w:t>
            </w:r>
          </w:p>
        </w:tc>
      </w:tr>
      <w:tr w:rsidR="00A61011" w:rsidRPr="005C616F" w14:paraId="39F21799"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3ECD0637" w14:textId="77777777" w:rsidR="00A61011" w:rsidRPr="00B26994" w:rsidRDefault="00A61011" w:rsidP="00A61011">
            <w:pPr>
              <w:pStyle w:val="Abkuerzung"/>
            </w:pPr>
            <w:r w:rsidRPr="00B26994">
              <w:t>GewSchGer</w:t>
            </w:r>
          </w:p>
        </w:tc>
        <w:tc>
          <w:tcPr>
            <w:tcW w:w="6237" w:type="dxa"/>
            <w:tcBorders>
              <w:top w:val="nil"/>
              <w:left w:val="nil"/>
              <w:bottom w:val="nil"/>
              <w:right w:val="nil"/>
            </w:tcBorders>
            <w:shd w:val="clear" w:color="auto" w:fill="auto"/>
            <w:tcMar>
              <w:top w:w="0" w:type="dxa"/>
              <w:left w:w="0" w:type="dxa"/>
              <w:bottom w:w="170" w:type="dxa"/>
              <w:right w:w="0" w:type="dxa"/>
            </w:tcMar>
          </w:tcPr>
          <w:p w14:paraId="5A7447C4" w14:textId="77777777" w:rsidR="00A61011" w:rsidRPr="00B26994" w:rsidRDefault="00A61011" w:rsidP="00A61011">
            <w:pPr>
              <w:pStyle w:val="Abkuerzung"/>
            </w:pPr>
            <w:r w:rsidRPr="00B26994">
              <w:t>Gewerbliches Schiedsgericht</w:t>
            </w:r>
          </w:p>
        </w:tc>
      </w:tr>
      <w:tr w:rsidR="00A61011" w:rsidRPr="005C616F" w14:paraId="40EEACBD"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178029EB" w14:textId="3494B643" w:rsidR="00A61011" w:rsidRPr="00B26994" w:rsidRDefault="00A61011" w:rsidP="00A61011">
            <w:pPr>
              <w:pStyle w:val="Abkuerzung"/>
            </w:pPr>
          </w:p>
        </w:tc>
        <w:tc>
          <w:tcPr>
            <w:tcW w:w="6237" w:type="dxa"/>
            <w:tcBorders>
              <w:top w:val="nil"/>
              <w:left w:val="nil"/>
              <w:bottom w:val="nil"/>
              <w:right w:val="nil"/>
            </w:tcBorders>
            <w:shd w:val="clear" w:color="auto" w:fill="auto"/>
            <w:tcMar>
              <w:top w:w="0" w:type="dxa"/>
              <w:left w:w="0" w:type="dxa"/>
              <w:bottom w:w="170" w:type="dxa"/>
              <w:right w:w="0" w:type="dxa"/>
            </w:tcMar>
          </w:tcPr>
          <w:p w14:paraId="2AD4CDFA" w14:textId="5E1A5DFE" w:rsidR="00A61011" w:rsidRPr="00B26994" w:rsidRDefault="00A61011" w:rsidP="00A61011">
            <w:pPr>
              <w:pStyle w:val="Abkuerzung"/>
            </w:pPr>
          </w:p>
        </w:tc>
      </w:tr>
      <w:tr w:rsidR="00A61011" w:rsidRPr="005C616F" w14:paraId="519D45A2"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1F659BFD" w14:textId="77777777" w:rsidR="00A61011" w:rsidRPr="00B26994" w:rsidRDefault="00A61011" w:rsidP="00A61011">
            <w:pPr>
              <w:pStyle w:val="Abkuerzung"/>
            </w:pPr>
            <w:r w:rsidRPr="00B26994">
              <w:t>gl.M.</w:t>
            </w:r>
          </w:p>
        </w:tc>
        <w:tc>
          <w:tcPr>
            <w:tcW w:w="6237" w:type="dxa"/>
            <w:tcBorders>
              <w:top w:val="nil"/>
              <w:left w:val="nil"/>
              <w:bottom w:val="nil"/>
              <w:right w:val="nil"/>
            </w:tcBorders>
            <w:shd w:val="clear" w:color="auto" w:fill="auto"/>
            <w:tcMar>
              <w:top w:w="0" w:type="dxa"/>
              <w:left w:w="0" w:type="dxa"/>
              <w:bottom w:w="170" w:type="dxa"/>
              <w:right w:w="0" w:type="dxa"/>
            </w:tcMar>
          </w:tcPr>
          <w:p w14:paraId="181DFDC6" w14:textId="77777777" w:rsidR="00A61011" w:rsidRPr="00B26994" w:rsidRDefault="00A61011" w:rsidP="00A61011">
            <w:pPr>
              <w:pStyle w:val="Abkuerzung"/>
            </w:pPr>
            <w:r w:rsidRPr="00B26994">
              <w:t>gleiche(r) Meinung</w:t>
            </w:r>
          </w:p>
        </w:tc>
      </w:tr>
      <w:tr w:rsidR="00A61011" w:rsidRPr="005C616F" w14:paraId="62814E21"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1985343E" w14:textId="77777777" w:rsidR="00A61011" w:rsidRPr="00B26994" w:rsidRDefault="00A61011" w:rsidP="00A61011">
            <w:pPr>
              <w:pStyle w:val="Abkuerzung"/>
            </w:pPr>
            <w:r w:rsidRPr="00B26994">
              <w:t>GPA</w:t>
            </w:r>
          </w:p>
        </w:tc>
        <w:tc>
          <w:tcPr>
            <w:tcW w:w="6237" w:type="dxa"/>
            <w:tcBorders>
              <w:top w:val="nil"/>
              <w:left w:val="nil"/>
              <w:bottom w:val="nil"/>
              <w:right w:val="nil"/>
            </w:tcBorders>
            <w:shd w:val="clear" w:color="auto" w:fill="auto"/>
            <w:tcMar>
              <w:top w:w="0" w:type="dxa"/>
              <w:left w:w="0" w:type="dxa"/>
              <w:bottom w:w="170" w:type="dxa"/>
              <w:right w:w="0" w:type="dxa"/>
            </w:tcMar>
          </w:tcPr>
          <w:p w14:paraId="2631E094" w14:textId="77777777" w:rsidR="00A61011" w:rsidRPr="00B26994" w:rsidRDefault="00A61011" w:rsidP="00A61011">
            <w:pPr>
              <w:pStyle w:val="Abkuerzung"/>
            </w:pPr>
            <w:r w:rsidRPr="00B26994">
              <w:t xml:space="preserve">Government Procurement Agreement (= Übereinkommen vom </w:t>
            </w:r>
            <w:r>
              <w:br/>
            </w:r>
            <w:r w:rsidRPr="00B26994">
              <w:t>15. April 1994 über das öffentliche Beschaffungswesen; GATT/WTO-Übereinkommen; SR 0.632.231.422)</w:t>
            </w:r>
          </w:p>
        </w:tc>
      </w:tr>
      <w:tr w:rsidR="00A61011" w:rsidRPr="005C616F" w14:paraId="230BD4B0"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159F22F4" w14:textId="77777777" w:rsidR="00A61011" w:rsidRPr="00B26994" w:rsidRDefault="00A61011" w:rsidP="00A61011">
            <w:pPr>
              <w:pStyle w:val="Abkuerzung"/>
            </w:pPr>
            <w:r w:rsidRPr="00B26994">
              <w:t>GRR</w:t>
            </w:r>
          </w:p>
        </w:tc>
        <w:tc>
          <w:tcPr>
            <w:tcW w:w="6237" w:type="dxa"/>
            <w:tcBorders>
              <w:top w:val="nil"/>
              <w:left w:val="nil"/>
              <w:bottom w:val="nil"/>
              <w:right w:val="nil"/>
            </w:tcBorders>
            <w:shd w:val="clear" w:color="auto" w:fill="auto"/>
            <w:tcMar>
              <w:top w:w="0" w:type="dxa"/>
              <w:left w:w="0" w:type="dxa"/>
              <w:bottom w:w="170" w:type="dxa"/>
              <w:right w:w="0" w:type="dxa"/>
            </w:tcMar>
          </w:tcPr>
          <w:p w14:paraId="150CB1C0" w14:textId="0FC70644" w:rsidR="00A61011" w:rsidRPr="00B26994" w:rsidRDefault="00A61011" w:rsidP="00A61011">
            <w:pPr>
              <w:pStyle w:val="Abkuerzung"/>
            </w:pPr>
            <w:r w:rsidRPr="00B26994">
              <w:t xml:space="preserve">Gemeinsamer Referenzrahmen (= Common Frame of Reference, </w:t>
            </w:r>
            <w:r w:rsidR="00104D05" w:rsidRPr="00B26994">
              <w:t>C</w:t>
            </w:r>
            <w:r w:rsidR="00104D05">
              <w:t>F</w:t>
            </w:r>
            <w:r w:rsidR="00104D05" w:rsidRPr="00B26994">
              <w:t>R</w:t>
            </w:r>
            <w:r w:rsidRPr="00B26994">
              <w:t>)</w:t>
            </w:r>
          </w:p>
        </w:tc>
      </w:tr>
      <w:tr w:rsidR="00A61011" w:rsidRPr="005C616F" w14:paraId="47D08A88"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59E4B479" w14:textId="77777777" w:rsidR="00A61011" w:rsidRPr="00B26994" w:rsidRDefault="00A61011" w:rsidP="00A61011">
            <w:pPr>
              <w:pStyle w:val="Abkuerzung"/>
            </w:pPr>
            <w:r w:rsidRPr="00B26994">
              <w:t>Habil.</w:t>
            </w:r>
          </w:p>
        </w:tc>
        <w:tc>
          <w:tcPr>
            <w:tcW w:w="6237" w:type="dxa"/>
            <w:tcBorders>
              <w:top w:val="nil"/>
              <w:left w:val="nil"/>
              <w:bottom w:val="nil"/>
              <w:right w:val="nil"/>
            </w:tcBorders>
            <w:shd w:val="clear" w:color="auto" w:fill="auto"/>
            <w:tcMar>
              <w:top w:w="0" w:type="dxa"/>
              <w:left w:w="0" w:type="dxa"/>
              <w:bottom w:w="170" w:type="dxa"/>
              <w:right w:w="0" w:type="dxa"/>
            </w:tcMar>
          </w:tcPr>
          <w:p w14:paraId="35EC5DA0" w14:textId="77777777" w:rsidR="00A61011" w:rsidRPr="00B26994" w:rsidRDefault="00A61011" w:rsidP="00A61011">
            <w:pPr>
              <w:pStyle w:val="Abkuerzung"/>
            </w:pPr>
            <w:r w:rsidRPr="00B26994">
              <w:t>Habilitationsschrift</w:t>
            </w:r>
          </w:p>
        </w:tc>
      </w:tr>
      <w:tr w:rsidR="00A61011" w:rsidRPr="005C616F" w14:paraId="0021328C"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265F6138" w14:textId="77777777" w:rsidR="00A61011" w:rsidRPr="00B26994" w:rsidRDefault="00A61011" w:rsidP="00A61011">
            <w:pPr>
              <w:pStyle w:val="Abkuerzung"/>
            </w:pPr>
            <w:r w:rsidRPr="00B26994">
              <w:t>HGer</w:t>
            </w:r>
          </w:p>
        </w:tc>
        <w:tc>
          <w:tcPr>
            <w:tcW w:w="6237" w:type="dxa"/>
            <w:tcBorders>
              <w:top w:val="nil"/>
              <w:left w:val="nil"/>
              <w:bottom w:val="nil"/>
              <w:right w:val="nil"/>
            </w:tcBorders>
            <w:shd w:val="clear" w:color="auto" w:fill="auto"/>
            <w:tcMar>
              <w:top w:w="0" w:type="dxa"/>
              <w:left w:w="0" w:type="dxa"/>
              <w:bottom w:w="170" w:type="dxa"/>
              <w:right w:w="0" w:type="dxa"/>
            </w:tcMar>
          </w:tcPr>
          <w:p w14:paraId="342164B5" w14:textId="77777777" w:rsidR="00A61011" w:rsidRPr="00B26994" w:rsidRDefault="00A61011" w:rsidP="00A61011">
            <w:pPr>
              <w:pStyle w:val="Abkuerzung"/>
            </w:pPr>
            <w:r w:rsidRPr="00B26994">
              <w:t>Handelsgericht</w:t>
            </w:r>
            <w:r>
              <w:t xml:space="preserve">. </w:t>
            </w:r>
          </w:p>
        </w:tc>
      </w:tr>
      <w:tr w:rsidR="00A61011" w:rsidRPr="005C616F" w14:paraId="11CED1B0"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0A144ACF" w14:textId="77777777" w:rsidR="00A61011" w:rsidRPr="00B26994" w:rsidRDefault="00A61011" w:rsidP="00A61011">
            <w:pPr>
              <w:pStyle w:val="Abkuerzung"/>
            </w:pPr>
            <w:r>
              <w:t>HGer ZH</w:t>
            </w:r>
          </w:p>
        </w:tc>
        <w:tc>
          <w:tcPr>
            <w:tcW w:w="6237" w:type="dxa"/>
            <w:tcBorders>
              <w:top w:val="nil"/>
              <w:left w:val="nil"/>
              <w:bottom w:val="nil"/>
              <w:right w:val="nil"/>
            </w:tcBorders>
            <w:shd w:val="clear" w:color="auto" w:fill="auto"/>
            <w:tcMar>
              <w:top w:w="0" w:type="dxa"/>
              <w:left w:w="0" w:type="dxa"/>
              <w:bottom w:w="170" w:type="dxa"/>
              <w:right w:w="0" w:type="dxa"/>
            </w:tcMar>
          </w:tcPr>
          <w:p w14:paraId="47869A00" w14:textId="77777777" w:rsidR="00A61011" w:rsidRPr="00B26994" w:rsidRDefault="00A61011" w:rsidP="00A61011">
            <w:pPr>
              <w:pStyle w:val="Abkuerzung"/>
            </w:pPr>
            <w:r>
              <w:t>Handelsgericht Zürich (www.gerichte-zh.ch)</w:t>
            </w:r>
          </w:p>
        </w:tc>
      </w:tr>
      <w:tr w:rsidR="00A61011" w:rsidRPr="005C616F" w14:paraId="29A92C4A"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718DD901" w14:textId="77777777" w:rsidR="00A61011" w:rsidRPr="00B26994" w:rsidRDefault="00A61011" w:rsidP="00A61011">
            <w:pPr>
              <w:pStyle w:val="Abkuerzung"/>
            </w:pPr>
            <w:r>
              <w:t>HAVE</w:t>
            </w:r>
          </w:p>
        </w:tc>
        <w:tc>
          <w:tcPr>
            <w:tcW w:w="6237" w:type="dxa"/>
            <w:tcBorders>
              <w:top w:val="nil"/>
              <w:left w:val="nil"/>
              <w:bottom w:val="nil"/>
              <w:right w:val="nil"/>
            </w:tcBorders>
            <w:shd w:val="clear" w:color="auto" w:fill="auto"/>
            <w:tcMar>
              <w:top w:w="0" w:type="dxa"/>
              <w:left w:w="0" w:type="dxa"/>
              <w:bottom w:w="170" w:type="dxa"/>
              <w:right w:w="0" w:type="dxa"/>
            </w:tcMar>
          </w:tcPr>
          <w:p w14:paraId="69CAF1BF" w14:textId="77777777" w:rsidR="00A61011" w:rsidRDefault="00A61011" w:rsidP="00A61011">
            <w:pPr>
              <w:pStyle w:val="Abkuerzung"/>
            </w:pPr>
            <w:r>
              <w:t>Haftung und Versicherung (Zürich)</w:t>
            </w:r>
          </w:p>
        </w:tc>
      </w:tr>
      <w:tr w:rsidR="00A61011" w:rsidRPr="005C616F" w14:paraId="20E602DA"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1C91C82E" w14:textId="77777777" w:rsidR="00A61011" w:rsidRPr="00B26994" w:rsidRDefault="00A61011" w:rsidP="00A61011">
            <w:pPr>
              <w:pStyle w:val="Abkuerzung"/>
            </w:pPr>
            <w:r w:rsidRPr="00B26994">
              <w:t>HRegV</w:t>
            </w:r>
          </w:p>
        </w:tc>
        <w:tc>
          <w:tcPr>
            <w:tcW w:w="6237" w:type="dxa"/>
            <w:tcBorders>
              <w:top w:val="nil"/>
              <w:left w:val="nil"/>
              <w:bottom w:val="nil"/>
              <w:right w:val="nil"/>
            </w:tcBorders>
            <w:shd w:val="clear" w:color="auto" w:fill="auto"/>
            <w:tcMar>
              <w:top w:w="0" w:type="dxa"/>
              <w:left w:w="0" w:type="dxa"/>
              <w:bottom w:w="170" w:type="dxa"/>
              <w:right w:w="0" w:type="dxa"/>
            </w:tcMar>
          </w:tcPr>
          <w:p w14:paraId="1FB94057" w14:textId="77777777" w:rsidR="00A61011" w:rsidRPr="00B26994" w:rsidRDefault="00A61011" w:rsidP="00A61011">
            <w:pPr>
              <w:pStyle w:val="Abkuerzung"/>
            </w:pPr>
            <w:r w:rsidRPr="00B26994">
              <w:t xml:space="preserve">Handelsregisterverordnung vom </w:t>
            </w:r>
            <w:r>
              <w:t>17. Oktober 2007</w:t>
            </w:r>
            <w:r w:rsidRPr="00B26994">
              <w:t xml:space="preserve"> (SR 221.411)</w:t>
            </w:r>
          </w:p>
        </w:tc>
      </w:tr>
      <w:tr w:rsidR="00A61011" w:rsidRPr="005C616F" w14:paraId="3AA6B4A0"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33083658" w14:textId="77777777" w:rsidR="00A61011" w:rsidRPr="00B26994" w:rsidRDefault="00A61011" w:rsidP="00A61011">
            <w:pPr>
              <w:pStyle w:val="Abkuerzung"/>
            </w:pPr>
            <w:r w:rsidRPr="00B26994">
              <w:t>Hrsg.</w:t>
            </w:r>
          </w:p>
        </w:tc>
        <w:tc>
          <w:tcPr>
            <w:tcW w:w="6237" w:type="dxa"/>
            <w:tcBorders>
              <w:top w:val="nil"/>
              <w:left w:val="nil"/>
              <w:bottom w:val="nil"/>
              <w:right w:val="nil"/>
            </w:tcBorders>
            <w:shd w:val="clear" w:color="auto" w:fill="auto"/>
            <w:tcMar>
              <w:top w:w="0" w:type="dxa"/>
              <w:left w:w="0" w:type="dxa"/>
              <w:bottom w:w="170" w:type="dxa"/>
              <w:right w:w="0" w:type="dxa"/>
            </w:tcMar>
          </w:tcPr>
          <w:p w14:paraId="5D199CF1" w14:textId="77777777" w:rsidR="00A61011" w:rsidRPr="00B26994" w:rsidRDefault="00A61011" w:rsidP="00A61011">
            <w:pPr>
              <w:pStyle w:val="Abkuerzung"/>
            </w:pPr>
            <w:r w:rsidRPr="00B26994">
              <w:t>Herausgeber</w:t>
            </w:r>
          </w:p>
        </w:tc>
      </w:tr>
      <w:tr w:rsidR="00712A80" w:rsidRPr="005C616F" w14:paraId="78CFA788"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2BC2B6A7" w14:textId="34848038" w:rsidR="00712A80" w:rsidRPr="00B26994" w:rsidRDefault="00712A80" w:rsidP="00A61011">
            <w:pPr>
              <w:pStyle w:val="Abkuerzung"/>
            </w:pPr>
            <w:r>
              <w:t>HVRT</w:t>
            </w:r>
          </w:p>
        </w:tc>
        <w:tc>
          <w:tcPr>
            <w:tcW w:w="6237" w:type="dxa"/>
            <w:tcBorders>
              <w:top w:val="nil"/>
              <w:left w:val="nil"/>
              <w:bottom w:val="nil"/>
              <w:right w:val="nil"/>
            </w:tcBorders>
            <w:shd w:val="clear" w:color="auto" w:fill="auto"/>
            <w:tcMar>
              <w:top w:w="0" w:type="dxa"/>
              <w:left w:w="0" w:type="dxa"/>
              <w:bottom w:w="170" w:type="dxa"/>
              <w:right w:w="0" w:type="dxa"/>
            </w:tcMar>
          </w:tcPr>
          <w:p w14:paraId="67E5E002" w14:textId="5A37A47B" w:rsidR="00712A80" w:rsidRPr="00B26994" w:rsidRDefault="00712A80" w:rsidP="00A61011">
            <w:pPr>
              <w:pStyle w:val="Abkuerzung"/>
            </w:pPr>
            <w:r w:rsidRPr="00712A80">
              <w:rPr>
                <w:lang w:val="de-DE"/>
              </w:rPr>
              <w:t>Haftpflicht- und Versicherungsrechtstagung (St. Gallen 1989 ff.)</w:t>
            </w:r>
          </w:p>
        </w:tc>
      </w:tr>
      <w:tr w:rsidR="00881E74" w:rsidRPr="005C616F" w14:paraId="26982E20"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10F470B2" w14:textId="480C4D38" w:rsidR="00881E74" w:rsidRPr="00B26994" w:rsidDel="00A355FF" w:rsidRDefault="00881E74" w:rsidP="00A61011">
            <w:pPr>
              <w:pStyle w:val="Abkuerzung"/>
            </w:pPr>
            <w:r>
              <w:t>IMF</w:t>
            </w:r>
          </w:p>
        </w:tc>
        <w:tc>
          <w:tcPr>
            <w:tcW w:w="6237" w:type="dxa"/>
            <w:tcBorders>
              <w:top w:val="nil"/>
              <w:left w:val="nil"/>
              <w:bottom w:val="nil"/>
              <w:right w:val="nil"/>
            </w:tcBorders>
            <w:shd w:val="clear" w:color="auto" w:fill="auto"/>
            <w:tcMar>
              <w:top w:w="0" w:type="dxa"/>
              <w:left w:w="0" w:type="dxa"/>
              <w:bottom w:w="170" w:type="dxa"/>
              <w:right w:w="0" w:type="dxa"/>
            </w:tcMar>
          </w:tcPr>
          <w:p w14:paraId="0C940BDF" w14:textId="12B9A254" w:rsidR="00881E74" w:rsidRPr="00B26994" w:rsidDel="00A355FF" w:rsidRDefault="00881E74" w:rsidP="00A61011">
            <w:pPr>
              <w:pStyle w:val="Abkuerzung"/>
            </w:pPr>
            <w:r>
              <w:t>International Monetary Fund</w:t>
            </w:r>
          </w:p>
        </w:tc>
      </w:tr>
      <w:tr w:rsidR="00A61011" w:rsidRPr="005C616F" w14:paraId="7422D73D"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2A634251" w14:textId="77777777" w:rsidR="00A61011" w:rsidRPr="00B26994" w:rsidRDefault="00A61011" w:rsidP="00A61011">
            <w:pPr>
              <w:pStyle w:val="Abkuerzung"/>
            </w:pPr>
            <w:r w:rsidRPr="00B26994">
              <w:t>IPRG</w:t>
            </w:r>
          </w:p>
        </w:tc>
        <w:tc>
          <w:tcPr>
            <w:tcW w:w="6237" w:type="dxa"/>
            <w:tcBorders>
              <w:top w:val="nil"/>
              <w:left w:val="nil"/>
              <w:bottom w:val="nil"/>
              <w:right w:val="nil"/>
            </w:tcBorders>
            <w:shd w:val="clear" w:color="auto" w:fill="auto"/>
            <w:tcMar>
              <w:top w:w="0" w:type="dxa"/>
              <w:left w:w="0" w:type="dxa"/>
              <w:bottom w:w="170" w:type="dxa"/>
              <w:right w:w="0" w:type="dxa"/>
            </w:tcMar>
          </w:tcPr>
          <w:p w14:paraId="3CF3E848" w14:textId="77777777" w:rsidR="00A61011" w:rsidRPr="00B26994" w:rsidRDefault="00A61011" w:rsidP="00A61011">
            <w:pPr>
              <w:pStyle w:val="Abkuerzung"/>
            </w:pPr>
            <w:r w:rsidRPr="00B26994">
              <w:t xml:space="preserve">BG über das Internationale Privatrecht vom 18. Dezember 1987 </w:t>
            </w:r>
            <w:r>
              <w:br/>
            </w:r>
            <w:r w:rsidRPr="00B26994">
              <w:t>(SR 291)</w:t>
            </w:r>
          </w:p>
        </w:tc>
      </w:tr>
      <w:tr w:rsidR="003A31C5" w:rsidRPr="005C616F" w14:paraId="7949E2BF"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7C0B3397" w14:textId="084BEF20" w:rsidR="003A31C5" w:rsidRPr="00B26994" w:rsidRDefault="003A31C5" w:rsidP="00A61011">
            <w:pPr>
              <w:pStyle w:val="Abkuerzung"/>
            </w:pPr>
            <w:r>
              <w:t>JB</w:t>
            </w:r>
          </w:p>
        </w:tc>
        <w:tc>
          <w:tcPr>
            <w:tcW w:w="6237" w:type="dxa"/>
            <w:tcBorders>
              <w:top w:val="nil"/>
              <w:left w:val="nil"/>
              <w:bottom w:val="nil"/>
              <w:right w:val="nil"/>
            </w:tcBorders>
            <w:shd w:val="clear" w:color="auto" w:fill="auto"/>
            <w:tcMar>
              <w:top w:w="0" w:type="dxa"/>
              <w:left w:w="0" w:type="dxa"/>
              <w:bottom w:w="170" w:type="dxa"/>
              <w:right w:w="0" w:type="dxa"/>
            </w:tcMar>
          </w:tcPr>
          <w:p w14:paraId="54C73505" w14:textId="4DEEFCE8" w:rsidR="003A31C5" w:rsidRPr="00B26994" w:rsidRDefault="003A31C5" w:rsidP="00A61011">
            <w:pPr>
              <w:pStyle w:val="Abkuerzung"/>
            </w:pPr>
            <w:r>
              <w:t>Jahresbericht</w:t>
            </w:r>
          </w:p>
        </w:tc>
      </w:tr>
      <w:tr w:rsidR="00A61011" w:rsidRPr="005C616F" w14:paraId="39940B9B"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063E6773" w14:textId="77777777" w:rsidR="00A61011" w:rsidRPr="00B26994" w:rsidRDefault="00A61011" w:rsidP="00A61011">
            <w:pPr>
              <w:pStyle w:val="Abkuerzung"/>
            </w:pPr>
            <w:r w:rsidRPr="00B26994">
              <w:t>JdT</w:t>
            </w:r>
          </w:p>
        </w:tc>
        <w:tc>
          <w:tcPr>
            <w:tcW w:w="6237" w:type="dxa"/>
            <w:tcBorders>
              <w:top w:val="nil"/>
              <w:left w:val="nil"/>
              <w:bottom w:val="nil"/>
              <w:right w:val="nil"/>
            </w:tcBorders>
            <w:shd w:val="clear" w:color="auto" w:fill="auto"/>
            <w:tcMar>
              <w:top w:w="0" w:type="dxa"/>
              <w:left w:w="0" w:type="dxa"/>
              <w:bottom w:w="170" w:type="dxa"/>
              <w:right w:w="0" w:type="dxa"/>
            </w:tcMar>
          </w:tcPr>
          <w:p w14:paraId="2313619A" w14:textId="77777777" w:rsidR="00A61011" w:rsidRPr="00B26994" w:rsidRDefault="00A61011" w:rsidP="00A61011">
            <w:pPr>
              <w:pStyle w:val="Abkuerzung"/>
            </w:pPr>
            <w:r w:rsidRPr="00B26994">
              <w:t>Journal des Tribunaux (Lausanne)</w:t>
            </w:r>
          </w:p>
        </w:tc>
      </w:tr>
      <w:tr w:rsidR="00A61011" w:rsidRPr="005C616F" w14:paraId="1C7AADEA"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4A46052E" w14:textId="77777777" w:rsidR="00A61011" w:rsidRPr="00B26994" w:rsidRDefault="00A61011" w:rsidP="00A61011">
            <w:pPr>
              <w:pStyle w:val="Abkuerzung"/>
            </w:pPr>
            <w:r w:rsidRPr="00B26994">
              <w:t>KassGer</w:t>
            </w:r>
          </w:p>
        </w:tc>
        <w:tc>
          <w:tcPr>
            <w:tcW w:w="6237" w:type="dxa"/>
            <w:tcBorders>
              <w:top w:val="nil"/>
              <w:left w:val="nil"/>
              <w:bottom w:val="nil"/>
              <w:right w:val="nil"/>
            </w:tcBorders>
            <w:shd w:val="clear" w:color="auto" w:fill="auto"/>
            <w:tcMar>
              <w:top w:w="0" w:type="dxa"/>
              <w:left w:w="0" w:type="dxa"/>
              <w:bottom w:w="170" w:type="dxa"/>
              <w:right w:w="0" w:type="dxa"/>
            </w:tcMar>
          </w:tcPr>
          <w:p w14:paraId="7B418AE7" w14:textId="77777777" w:rsidR="00A61011" w:rsidRPr="00B26994" w:rsidRDefault="00A61011" w:rsidP="00A61011">
            <w:pPr>
              <w:pStyle w:val="Abkuerzung"/>
            </w:pPr>
            <w:r w:rsidRPr="00B26994">
              <w:t>Kassationsgericht</w:t>
            </w:r>
          </w:p>
        </w:tc>
      </w:tr>
      <w:tr w:rsidR="00A61011" w:rsidRPr="005C616F" w14:paraId="76C812EE"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296EB65D" w14:textId="77777777" w:rsidR="00A61011" w:rsidRPr="00B26994" w:rsidRDefault="00A61011" w:rsidP="00A61011">
            <w:pPr>
              <w:pStyle w:val="Abkuerzung"/>
            </w:pPr>
            <w:r w:rsidRPr="00B26994">
              <w:t>KG</w:t>
            </w:r>
          </w:p>
        </w:tc>
        <w:tc>
          <w:tcPr>
            <w:tcW w:w="6237" w:type="dxa"/>
            <w:tcBorders>
              <w:top w:val="nil"/>
              <w:left w:val="nil"/>
              <w:bottom w:val="nil"/>
              <w:right w:val="nil"/>
            </w:tcBorders>
            <w:shd w:val="clear" w:color="auto" w:fill="auto"/>
            <w:tcMar>
              <w:top w:w="0" w:type="dxa"/>
              <w:left w:w="0" w:type="dxa"/>
              <w:bottom w:w="170" w:type="dxa"/>
              <w:right w:w="0" w:type="dxa"/>
            </w:tcMar>
          </w:tcPr>
          <w:p w14:paraId="1756C4C9" w14:textId="77777777" w:rsidR="00A61011" w:rsidRPr="00B26994" w:rsidRDefault="00A61011" w:rsidP="00A61011">
            <w:pPr>
              <w:pStyle w:val="Abkuerzung"/>
            </w:pPr>
            <w:r w:rsidRPr="00B26994">
              <w:t>BG über Kartelle und andere Wettbewerbsbeschränkungen (Kartell</w:t>
            </w:r>
            <w:r>
              <w:softHyphen/>
            </w:r>
            <w:r w:rsidRPr="00B26994">
              <w:t>gesetz) vom 6. Oktober 1995 (SR 251)</w:t>
            </w:r>
          </w:p>
        </w:tc>
      </w:tr>
      <w:tr w:rsidR="00A61011" w:rsidRPr="005C616F" w14:paraId="5F5195D0"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748B3256" w14:textId="77777777" w:rsidR="00A61011" w:rsidRPr="00B26994" w:rsidRDefault="00A61011" w:rsidP="00A61011">
            <w:pPr>
              <w:pStyle w:val="Abkuerzung"/>
            </w:pPr>
            <w:r w:rsidRPr="00B26994">
              <w:t>KGer</w:t>
            </w:r>
          </w:p>
        </w:tc>
        <w:tc>
          <w:tcPr>
            <w:tcW w:w="6237" w:type="dxa"/>
            <w:tcBorders>
              <w:top w:val="nil"/>
              <w:left w:val="nil"/>
              <w:bottom w:val="nil"/>
              <w:right w:val="nil"/>
            </w:tcBorders>
            <w:shd w:val="clear" w:color="auto" w:fill="auto"/>
            <w:tcMar>
              <w:top w:w="0" w:type="dxa"/>
              <w:left w:w="0" w:type="dxa"/>
              <w:bottom w:w="170" w:type="dxa"/>
              <w:right w:w="0" w:type="dxa"/>
            </w:tcMar>
          </w:tcPr>
          <w:p w14:paraId="1B171371" w14:textId="77777777" w:rsidR="00A61011" w:rsidRPr="00B26994" w:rsidRDefault="00A61011" w:rsidP="00A61011">
            <w:pPr>
              <w:pStyle w:val="Abkuerzung"/>
            </w:pPr>
            <w:r w:rsidRPr="00B26994">
              <w:t>Kantonsgericht</w:t>
            </w:r>
          </w:p>
        </w:tc>
      </w:tr>
      <w:tr w:rsidR="00A61011" w:rsidRPr="005C616F" w14:paraId="1AF53FC3"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1BA4DF6E" w14:textId="77777777" w:rsidR="00A61011" w:rsidRPr="00B26994" w:rsidRDefault="00A61011" w:rsidP="00A61011">
            <w:pPr>
              <w:pStyle w:val="Abkuerzung"/>
            </w:pPr>
            <w:r w:rsidRPr="00B26994">
              <w:t>Komm.</w:t>
            </w:r>
          </w:p>
        </w:tc>
        <w:tc>
          <w:tcPr>
            <w:tcW w:w="6237" w:type="dxa"/>
            <w:tcBorders>
              <w:top w:val="nil"/>
              <w:left w:val="nil"/>
              <w:bottom w:val="nil"/>
              <w:right w:val="nil"/>
            </w:tcBorders>
            <w:shd w:val="clear" w:color="auto" w:fill="auto"/>
            <w:tcMar>
              <w:top w:w="0" w:type="dxa"/>
              <w:left w:w="0" w:type="dxa"/>
              <w:bottom w:w="170" w:type="dxa"/>
              <w:right w:w="0" w:type="dxa"/>
            </w:tcMar>
          </w:tcPr>
          <w:p w14:paraId="1F1C47A5" w14:textId="77777777" w:rsidR="00A61011" w:rsidRPr="00B26994" w:rsidRDefault="00A61011" w:rsidP="00A61011">
            <w:pPr>
              <w:pStyle w:val="Abkuerzung"/>
            </w:pPr>
            <w:r w:rsidRPr="00B26994">
              <w:t>Kommentar</w:t>
            </w:r>
          </w:p>
        </w:tc>
      </w:tr>
      <w:tr w:rsidR="00A61011" w:rsidRPr="005C616F" w14:paraId="57FD6526"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241E92A3" w14:textId="77777777" w:rsidR="00A61011" w:rsidRPr="00B26994" w:rsidRDefault="00A61011" w:rsidP="00A61011">
            <w:pPr>
              <w:pStyle w:val="Abkuerzung"/>
            </w:pPr>
            <w:r w:rsidRPr="00B26994">
              <w:t>medialex</w:t>
            </w:r>
          </w:p>
        </w:tc>
        <w:tc>
          <w:tcPr>
            <w:tcW w:w="6237" w:type="dxa"/>
            <w:tcBorders>
              <w:top w:val="nil"/>
              <w:left w:val="nil"/>
              <w:bottom w:val="nil"/>
              <w:right w:val="nil"/>
            </w:tcBorders>
            <w:shd w:val="clear" w:color="auto" w:fill="auto"/>
            <w:tcMar>
              <w:top w:w="0" w:type="dxa"/>
              <w:left w:w="0" w:type="dxa"/>
              <w:bottom w:w="170" w:type="dxa"/>
              <w:right w:w="0" w:type="dxa"/>
            </w:tcMar>
          </w:tcPr>
          <w:p w14:paraId="43EC36C1" w14:textId="77777777" w:rsidR="00A61011" w:rsidRPr="00B26994" w:rsidRDefault="00A61011" w:rsidP="00A61011">
            <w:pPr>
              <w:pStyle w:val="Abkuerzung"/>
            </w:pPr>
            <w:r w:rsidRPr="00B26994">
              <w:t>Revue de droit de la communication/Zeitschrift für Kommunikationsrecht (Bern)</w:t>
            </w:r>
          </w:p>
        </w:tc>
      </w:tr>
      <w:tr w:rsidR="00A61011" w:rsidRPr="005C616F" w14:paraId="0B17D29D"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2F1E573F" w14:textId="77777777" w:rsidR="00A61011" w:rsidRPr="00B26994" w:rsidRDefault="00A61011" w:rsidP="00A61011">
            <w:pPr>
              <w:pStyle w:val="Abkuerzung"/>
            </w:pPr>
            <w:r>
              <w:t>m.w.N.</w:t>
            </w:r>
          </w:p>
        </w:tc>
        <w:tc>
          <w:tcPr>
            <w:tcW w:w="6237" w:type="dxa"/>
            <w:tcBorders>
              <w:top w:val="nil"/>
              <w:left w:val="nil"/>
              <w:bottom w:val="nil"/>
              <w:right w:val="nil"/>
            </w:tcBorders>
            <w:shd w:val="clear" w:color="auto" w:fill="auto"/>
            <w:tcMar>
              <w:top w:w="0" w:type="dxa"/>
              <w:left w:w="0" w:type="dxa"/>
              <w:bottom w:w="170" w:type="dxa"/>
              <w:right w:w="0" w:type="dxa"/>
            </w:tcMar>
          </w:tcPr>
          <w:p w14:paraId="3A05C9B4" w14:textId="77777777" w:rsidR="00A61011" w:rsidRPr="00B26994" w:rsidRDefault="00A61011" w:rsidP="00A61011">
            <w:pPr>
              <w:pStyle w:val="Abkuerzung"/>
            </w:pPr>
            <w:r>
              <w:t>mit weiteren Nachweisen</w:t>
            </w:r>
          </w:p>
        </w:tc>
      </w:tr>
      <w:tr w:rsidR="00A61011" w:rsidRPr="005C616F" w14:paraId="6C69CA6C"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028C7B32" w14:textId="77777777" w:rsidR="00A61011" w:rsidRPr="00B26994" w:rsidRDefault="00A61011" w:rsidP="00A61011">
            <w:pPr>
              <w:pStyle w:val="Abkuerzung"/>
            </w:pPr>
            <w:r>
              <w:t>MWSTG</w:t>
            </w:r>
          </w:p>
        </w:tc>
        <w:tc>
          <w:tcPr>
            <w:tcW w:w="6237" w:type="dxa"/>
            <w:tcBorders>
              <w:top w:val="nil"/>
              <w:left w:val="nil"/>
              <w:bottom w:val="nil"/>
              <w:right w:val="nil"/>
            </w:tcBorders>
            <w:shd w:val="clear" w:color="auto" w:fill="auto"/>
            <w:tcMar>
              <w:top w:w="0" w:type="dxa"/>
              <w:left w:w="0" w:type="dxa"/>
              <w:bottom w:w="170" w:type="dxa"/>
              <w:right w:w="0" w:type="dxa"/>
            </w:tcMar>
          </w:tcPr>
          <w:p w14:paraId="625EDDA4" w14:textId="77777777" w:rsidR="00A61011" w:rsidRPr="00B26994" w:rsidRDefault="00A61011" w:rsidP="00A61011">
            <w:pPr>
              <w:pStyle w:val="Abkuerzung"/>
            </w:pPr>
            <w:r>
              <w:t>BG über die Mehrwertsteuer vom 12. Juni 2009 (SR 641.20)</w:t>
            </w:r>
          </w:p>
        </w:tc>
      </w:tr>
      <w:tr w:rsidR="00A61011" w:rsidRPr="005C616F" w14:paraId="17FB0644"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31878D04" w14:textId="77777777" w:rsidR="00A61011" w:rsidRPr="00B26994" w:rsidRDefault="00A61011" w:rsidP="00A61011">
            <w:pPr>
              <w:pStyle w:val="Abkuerzung"/>
            </w:pPr>
            <w:r w:rsidRPr="00B26994">
              <w:t>N</w:t>
            </w:r>
          </w:p>
        </w:tc>
        <w:tc>
          <w:tcPr>
            <w:tcW w:w="6237" w:type="dxa"/>
            <w:tcBorders>
              <w:top w:val="nil"/>
              <w:left w:val="nil"/>
              <w:bottom w:val="nil"/>
              <w:right w:val="nil"/>
            </w:tcBorders>
            <w:shd w:val="clear" w:color="auto" w:fill="auto"/>
            <w:tcMar>
              <w:top w:w="0" w:type="dxa"/>
              <w:left w:w="0" w:type="dxa"/>
              <w:bottom w:w="170" w:type="dxa"/>
              <w:right w:w="0" w:type="dxa"/>
            </w:tcMar>
          </w:tcPr>
          <w:p w14:paraId="3839AEFE" w14:textId="77777777" w:rsidR="00A61011" w:rsidRPr="00B26994" w:rsidRDefault="00A61011" w:rsidP="00A61011">
            <w:pPr>
              <w:pStyle w:val="Abkuerzung"/>
            </w:pPr>
            <w:r w:rsidRPr="00B26994">
              <w:t>Note, Randnote</w:t>
            </w:r>
          </w:p>
        </w:tc>
      </w:tr>
      <w:tr w:rsidR="00AD2270" w:rsidRPr="005C616F" w14:paraId="3E4CDFD8"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0E531B34" w14:textId="404C5DE0" w:rsidR="00AD2270" w:rsidRPr="00B26994" w:rsidDel="00D61B88" w:rsidRDefault="00AD2270" w:rsidP="00A61011">
            <w:pPr>
              <w:pStyle w:val="Abkuerzung"/>
            </w:pPr>
            <w:r>
              <w:t>OECD</w:t>
            </w:r>
          </w:p>
        </w:tc>
        <w:tc>
          <w:tcPr>
            <w:tcW w:w="6237" w:type="dxa"/>
            <w:tcBorders>
              <w:top w:val="nil"/>
              <w:left w:val="nil"/>
              <w:bottom w:val="nil"/>
              <w:right w:val="nil"/>
            </w:tcBorders>
            <w:shd w:val="clear" w:color="auto" w:fill="auto"/>
            <w:tcMar>
              <w:top w:w="0" w:type="dxa"/>
              <w:left w:w="0" w:type="dxa"/>
              <w:bottom w:w="170" w:type="dxa"/>
              <w:right w:w="0" w:type="dxa"/>
            </w:tcMar>
          </w:tcPr>
          <w:p w14:paraId="2547607A" w14:textId="490F22A8" w:rsidR="00AD2270" w:rsidRPr="00B26994" w:rsidDel="00D61B88" w:rsidRDefault="00AD2270" w:rsidP="00A61011">
            <w:pPr>
              <w:pStyle w:val="Abkuerzung"/>
            </w:pPr>
            <w:r>
              <w:t>Organisation for Economic Co-operation and Development</w:t>
            </w:r>
          </w:p>
        </w:tc>
      </w:tr>
      <w:tr w:rsidR="00A61011" w:rsidRPr="005C616F" w14:paraId="5FFCEDB9"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5F1F0884" w14:textId="77777777" w:rsidR="00A61011" w:rsidRPr="00B26994" w:rsidRDefault="00A61011" w:rsidP="00A61011">
            <w:pPr>
              <w:pStyle w:val="Abkuerzung"/>
            </w:pPr>
            <w:r w:rsidRPr="00B26994">
              <w:t>OG</w:t>
            </w:r>
          </w:p>
        </w:tc>
        <w:tc>
          <w:tcPr>
            <w:tcW w:w="6237" w:type="dxa"/>
            <w:tcBorders>
              <w:top w:val="nil"/>
              <w:left w:val="nil"/>
              <w:bottom w:val="nil"/>
              <w:right w:val="nil"/>
            </w:tcBorders>
            <w:shd w:val="clear" w:color="auto" w:fill="auto"/>
            <w:tcMar>
              <w:top w:w="0" w:type="dxa"/>
              <w:left w:w="0" w:type="dxa"/>
              <w:bottom w:w="170" w:type="dxa"/>
              <w:right w:w="0" w:type="dxa"/>
            </w:tcMar>
          </w:tcPr>
          <w:p w14:paraId="449695C8" w14:textId="77777777" w:rsidR="00A61011" w:rsidRPr="00B26994" w:rsidRDefault="00A61011" w:rsidP="00A61011">
            <w:pPr>
              <w:pStyle w:val="Abkuerzung"/>
            </w:pPr>
            <w:r w:rsidRPr="00B26994">
              <w:t>BG über die Organisation der Bundesrechtspflege (Bundesrechtspflegegesetz) vom 16. Dezember 1943 (ehemals SR 173.110; nicht mehr in Kraft; vgl. BGG)</w:t>
            </w:r>
          </w:p>
        </w:tc>
      </w:tr>
      <w:tr w:rsidR="00A61011" w:rsidRPr="005C616F" w14:paraId="7C121577"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0538CAC5" w14:textId="77777777" w:rsidR="00A61011" w:rsidRPr="00B26994" w:rsidRDefault="00A61011" w:rsidP="00A61011">
            <w:pPr>
              <w:pStyle w:val="Abkuerzung"/>
            </w:pPr>
            <w:r w:rsidRPr="00B26994">
              <w:t>OGer</w:t>
            </w:r>
          </w:p>
        </w:tc>
        <w:tc>
          <w:tcPr>
            <w:tcW w:w="6237" w:type="dxa"/>
            <w:tcBorders>
              <w:top w:val="nil"/>
              <w:left w:val="nil"/>
              <w:bottom w:val="nil"/>
              <w:right w:val="nil"/>
            </w:tcBorders>
            <w:shd w:val="clear" w:color="auto" w:fill="auto"/>
            <w:tcMar>
              <w:top w:w="0" w:type="dxa"/>
              <w:left w:w="0" w:type="dxa"/>
              <w:bottom w:w="170" w:type="dxa"/>
              <w:right w:w="0" w:type="dxa"/>
            </w:tcMar>
          </w:tcPr>
          <w:p w14:paraId="6EC7A501" w14:textId="77777777" w:rsidR="00A61011" w:rsidRPr="00B26994" w:rsidRDefault="00A61011" w:rsidP="00A61011">
            <w:pPr>
              <w:pStyle w:val="Abkuerzung"/>
            </w:pPr>
            <w:r w:rsidRPr="00B26994">
              <w:t>Obergericht</w:t>
            </w:r>
          </w:p>
        </w:tc>
      </w:tr>
      <w:tr w:rsidR="00A61011" w:rsidRPr="005C616F" w14:paraId="2F647D84"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5CCE6B0B" w14:textId="77777777" w:rsidR="00A61011" w:rsidRPr="00B26994" w:rsidRDefault="00A61011" w:rsidP="00A61011">
            <w:pPr>
              <w:pStyle w:val="Abkuerzung"/>
            </w:pPr>
            <w:r>
              <w:t>OGer BE</w:t>
            </w:r>
          </w:p>
        </w:tc>
        <w:tc>
          <w:tcPr>
            <w:tcW w:w="6237" w:type="dxa"/>
            <w:tcBorders>
              <w:top w:val="nil"/>
              <w:left w:val="nil"/>
              <w:bottom w:val="nil"/>
              <w:right w:val="nil"/>
            </w:tcBorders>
            <w:shd w:val="clear" w:color="auto" w:fill="auto"/>
            <w:tcMar>
              <w:top w:w="0" w:type="dxa"/>
              <w:left w:w="0" w:type="dxa"/>
              <w:bottom w:w="170" w:type="dxa"/>
              <w:right w:w="0" w:type="dxa"/>
            </w:tcMar>
          </w:tcPr>
          <w:p w14:paraId="75ED65BA" w14:textId="77777777" w:rsidR="00A61011" w:rsidRPr="00B26994" w:rsidRDefault="00A61011" w:rsidP="00A61011">
            <w:pPr>
              <w:pStyle w:val="Abkuerzung"/>
            </w:pPr>
            <w:r>
              <w:t>Obergericht Bern (www.justice.be.ch)</w:t>
            </w:r>
          </w:p>
        </w:tc>
      </w:tr>
      <w:tr w:rsidR="00A61011" w:rsidRPr="005C616F" w14:paraId="6B4C14FD"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6BDCC8CF" w14:textId="77777777" w:rsidR="00A61011" w:rsidRPr="00B26994" w:rsidRDefault="00A61011" w:rsidP="00A61011">
            <w:pPr>
              <w:pStyle w:val="Abkuerzung"/>
            </w:pPr>
            <w:r w:rsidRPr="00B26994">
              <w:t>OG TG</w:t>
            </w:r>
          </w:p>
        </w:tc>
        <w:tc>
          <w:tcPr>
            <w:tcW w:w="6237" w:type="dxa"/>
            <w:tcBorders>
              <w:top w:val="nil"/>
              <w:left w:val="nil"/>
              <w:bottom w:val="nil"/>
              <w:right w:val="nil"/>
            </w:tcBorders>
            <w:shd w:val="clear" w:color="auto" w:fill="auto"/>
            <w:tcMar>
              <w:top w:w="0" w:type="dxa"/>
              <w:left w:w="0" w:type="dxa"/>
              <w:bottom w:w="170" w:type="dxa"/>
              <w:right w:w="0" w:type="dxa"/>
            </w:tcMar>
          </w:tcPr>
          <w:p w14:paraId="1010B067" w14:textId="77777777" w:rsidR="00A61011" w:rsidRPr="00B26994" w:rsidRDefault="00A61011" w:rsidP="00A61011">
            <w:pPr>
              <w:pStyle w:val="Abkuerzung"/>
            </w:pPr>
            <w:r w:rsidRPr="00B26994">
              <w:t>Rechenschaftsbericht des Obergerichts … des Kantons Thurgau</w:t>
            </w:r>
          </w:p>
        </w:tc>
      </w:tr>
      <w:tr w:rsidR="00A61011" w:rsidRPr="005C616F" w14:paraId="2682A78B"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0705D4EE" w14:textId="77777777" w:rsidR="00A61011" w:rsidRPr="00B26994" w:rsidRDefault="00A61011" w:rsidP="00A61011">
            <w:pPr>
              <w:pStyle w:val="Abkuerzung"/>
            </w:pPr>
            <w:r w:rsidRPr="00B26994">
              <w:lastRenderedPageBreak/>
              <w:t>OR</w:t>
            </w:r>
          </w:p>
        </w:tc>
        <w:tc>
          <w:tcPr>
            <w:tcW w:w="6237" w:type="dxa"/>
            <w:tcBorders>
              <w:top w:val="nil"/>
              <w:left w:val="nil"/>
              <w:bottom w:val="nil"/>
              <w:right w:val="nil"/>
            </w:tcBorders>
            <w:shd w:val="clear" w:color="auto" w:fill="auto"/>
            <w:tcMar>
              <w:top w:w="0" w:type="dxa"/>
              <w:left w:w="0" w:type="dxa"/>
              <w:bottom w:w="170" w:type="dxa"/>
              <w:right w:w="0" w:type="dxa"/>
            </w:tcMar>
          </w:tcPr>
          <w:p w14:paraId="05C660F7" w14:textId="77777777" w:rsidR="00A61011" w:rsidRPr="00B26994" w:rsidRDefault="00A61011" w:rsidP="00A61011">
            <w:pPr>
              <w:pStyle w:val="Abkuerzung"/>
            </w:pPr>
            <w:r w:rsidRPr="00B26994">
              <w:t>BG betreffend die Ergänzung des Schweizerischen Zivilgesetzbuches (Fünfter Teil: Obligationenrecht) vom 30. März 1911/18. Dezember 1936 (SR 220)</w:t>
            </w:r>
          </w:p>
        </w:tc>
      </w:tr>
      <w:tr w:rsidR="00A61011" w:rsidRPr="005C616F" w14:paraId="26EFCE4C"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39E25A48" w14:textId="77777777" w:rsidR="00A61011" w:rsidRPr="00B26994" w:rsidRDefault="00A61011" w:rsidP="00A61011">
            <w:pPr>
              <w:pStyle w:val="Abkuerzung"/>
            </w:pPr>
            <w:r w:rsidRPr="00B26994">
              <w:t>PauRG</w:t>
            </w:r>
          </w:p>
        </w:tc>
        <w:tc>
          <w:tcPr>
            <w:tcW w:w="6237" w:type="dxa"/>
            <w:tcBorders>
              <w:top w:val="nil"/>
              <w:left w:val="nil"/>
              <w:bottom w:val="nil"/>
              <w:right w:val="nil"/>
            </w:tcBorders>
            <w:shd w:val="clear" w:color="auto" w:fill="auto"/>
            <w:tcMar>
              <w:top w:w="0" w:type="dxa"/>
              <w:left w:w="0" w:type="dxa"/>
              <w:bottom w:w="170" w:type="dxa"/>
              <w:right w:w="0" w:type="dxa"/>
            </w:tcMar>
          </w:tcPr>
          <w:p w14:paraId="3BAE4091" w14:textId="77777777" w:rsidR="00A61011" w:rsidRPr="00B26994" w:rsidRDefault="00A61011" w:rsidP="00A61011">
            <w:pPr>
              <w:pStyle w:val="Abkuerzung"/>
            </w:pPr>
            <w:r w:rsidRPr="00B26994">
              <w:t>siehe PRG</w:t>
            </w:r>
          </w:p>
        </w:tc>
      </w:tr>
      <w:tr w:rsidR="00A61011" w:rsidRPr="005C616F" w14:paraId="6A70AF00"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0FB8997D" w14:textId="77777777" w:rsidR="00A61011" w:rsidRPr="00B26994" w:rsidRDefault="00A61011" w:rsidP="00A61011">
            <w:pPr>
              <w:pStyle w:val="Abkuerzung"/>
            </w:pPr>
            <w:r w:rsidRPr="00B26994">
              <w:t>plädoyer</w:t>
            </w:r>
          </w:p>
        </w:tc>
        <w:tc>
          <w:tcPr>
            <w:tcW w:w="6237" w:type="dxa"/>
            <w:tcBorders>
              <w:top w:val="nil"/>
              <w:left w:val="nil"/>
              <w:bottom w:val="nil"/>
              <w:right w:val="nil"/>
            </w:tcBorders>
            <w:shd w:val="clear" w:color="auto" w:fill="auto"/>
            <w:tcMar>
              <w:top w:w="0" w:type="dxa"/>
              <w:left w:w="0" w:type="dxa"/>
              <w:bottom w:w="170" w:type="dxa"/>
              <w:right w:w="0" w:type="dxa"/>
            </w:tcMar>
          </w:tcPr>
          <w:p w14:paraId="37E51558" w14:textId="77777777" w:rsidR="00A61011" w:rsidRPr="00B26994" w:rsidRDefault="00A61011" w:rsidP="00A61011">
            <w:pPr>
              <w:pStyle w:val="Abkuerzung"/>
            </w:pPr>
            <w:r w:rsidRPr="00B26994">
              <w:t>plädoyer, Das Magazin für Recht und Politik (Zürich)</w:t>
            </w:r>
          </w:p>
        </w:tc>
      </w:tr>
      <w:tr w:rsidR="00A61011" w:rsidRPr="005C616F" w14:paraId="3CFD3F63"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779B073A" w14:textId="77777777" w:rsidR="00A61011" w:rsidRPr="00B26994" w:rsidRDefault="00A61011" w:rsidP="00A61011">
            <w:pPr>
              <w:pStyle w:val="Abkuerzung"/>
            </w:pPr>
            <w:r w:rsidRPr="00B26994">
              <w:t>Pra</w:t>
            </w:r>
          </w:p>
        </w:tc>
        <w:tc>
          <w:tcPr>
            <w:tcW w:w="6237" w:type="dxa"/>
            <w:tcBorders>
              <w:top w:val="nil"/>
              <w:left w:val="nil"/>
              <w:bottom w:val="nil"/>
              <w:right w:val="nil"/>
            </w:tcBorders>
            <w:shd w:val="clear" w:color="auto" w:fill="auto"/>
            <w:tcMar>
              <w:top w:w="0" w:type="dxa"/>
              <w:left w:w="0" w:type="dxa"/>
              <w:bottom w:w="170" w:type="dxa"/>
              <w:right w:w="0" w:type="dxa"/>
            </w:tcMar>
          </w:tcPr>
          <w:p w14:paraId="1171274C" w14:textId="77777777" w:rsidR="00A61011" w:rsidRPr="00B26994" w:rsidRDefault="00A61011" w:rsidP="00A61011">
            <w:pPr>
              <w:pStyle w:val="Abkuerzung"/>
            </w:pPr>
            <w:r w:rsidRPr="00B26994">
              <w:t>Die Praxis des Schweizerischen Bundesgerichts (Basel)</w:t>
            </w:r>
          </w:p>
        </w:tc>
      </w:tr>
      <w:tr w:rsidR="00A61011" w:rsidRPr="005C616F" w14:paraId="6C276EBA"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5A759C52" w14:textId="77777777" w:rsidR="00A61011" w:rsidRPr="00B26994" w:rsidRDefault="00A61011" w:rsidP="00A61011">
            <w:pPr>
              <w:pStyle w:val="Abkuerzung"/>
            </w:pPr>
            <w:r w:rsidRPr="00B26994">
              <w:t>PRG (auch: PauRG)</w:t>
            </w:r>
          </w:p>
        </w:tc>
        <w:tc>
          <w:tcPr>
            <w:tcW w:w="6237" w:type="dxa"/>
            <w:tcBorders>
              <w:top w:val="nil"/>
              <w:left w:val="nil"/>
              <w:bottom w:val="nil"/>
              <w:right w:val="nil"/>
            </w:tcBorders>
            <w:shd w:val="clear" w:color="auto" w:fill="auto"/>
            <w:tcMar>
              <w:top w:w="0" w:type="dxa"/>
              <w:left w:w="0" w:type="dxa"/>
              <w:bottom w:w="170" w:type="dxa"/>
              <w:right w:w="0" w:type="dxa"/>
            </w:tcMar>
          </w:tcPr>
          <w:p w14:paraId="6CFACA15" w14:textId="77777777" w:rsidR="00A61011" w:rsidRPr="00B26994" w:rsidRDefault="00A61011" w:rsidP="00A61011">
            <w:pPr>
              <w:pStyle w:val="Abkuerzung"/>
            </w:pPr>
            <w:r w:rsidRPr="00B26994">
              <w:t>BG über Pauschalreisen vom 18. Juni 1993 (SR 944.3)</w:t>
            </w:r>
          </w:p>
        </w:tc>
      </w:tr>
      <w:tr w:rsidR="00A61011" w:rsidRPr="005C616F" w14:paraId="2C0C5197"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2303484C" w14:textId="77777777" w:rsidR="00A61011" w:rsidRPr="00B26994" w:rsidRDefault="00A61011" w:rsidP="00A61011">
            <w:pPr>
              <w:pStyle w:val="Abkuerzung"/>
            </w:pPr>
            <w:r w:rsidRPr="00B26994">
              <w:t>recht</w:t>
            </w:r>
          </w:p>
        </w:tc>
        <w:tc>
          <w:tcPr>
            <w:tcW w:w="6237" w:type="dxa"/>
            <w:tcBorders>
              <w:top w:val="nil"/>
              <w:left w:val="nil"/>
              <w:bottom w:val="nil"/>
              <w:right w:val="nil"/>
            </w:tcBorders>
            <w:shd w:val="clear" w:color="auto" w:fill="auto"/>
            <w:tcMar>
              <w:top w:w="0" w:type="dxa"/>
              <w:left w:w="0" w:type="dxa"/>
              <w:bottom w:w="170" w:type="dxa"/>
              <w:right w:w="0" w:type="dxa"/>
            </w:tcMar>
          </w:tcPr>
          <w:p w14:paraId="4FF95A5C" w14:textId="77777777" w:rsidR="00A61011" w:rsidRPr="00B26994" w:rsidRDefault="00A61011" w:rsidP="00A61011">
            <w:pPr>
              <w:pStyle w:val="Abkuerzung"/>
            </w:pPr>
            <w:r w:rsidRPr="00B26994">
              <w:t>recht, Zeitschrift für juristische Ausbildung und Praxis (Bern)</w:t>
            </w:r>
          </w:p>
        </w:tc>
      </w:tr>
      <w:tr w:rsidR="00A61011" w:rsidRPr="00B26994" w14:paraId="1DA4E3FA"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6FA2E359" w14:textId="77777777" w:rsidR="00A61011" w:rsidRPr="00B26994" w:rsidRDefault="00A61011" w:rsidP="00A61011">
            <w:pPr>
              <w:pStyle w:val="Abkuerzung"/>
            </w:pPr>
            <w:r w:rsidRPr="00B26994">
              <w:t>Rep.</w:t>
            </w:r>
          </w:p>
        </w:tc>
        <w:tc>
          <w:tcPr>
            <w:tcW w:w="6237" w:type="dxa"/>
            <w:tcBorders>
              <w:top w:val="nil"/>
              <w:left w:val="nil"/>
              <w:bottom w:val="nil"/>
              <w:right w:val="nil"/>
            </w:tcBorders>
            <w:shd w:val="clear" w:color="auto" w:fill="auto"/>
            <w:tcMar>
              <w:top w:w="0" w:type="dxa"/>
              <w:left w:w="0" w:type="dxa"/>
              <w:bottom w:w="170" w:type="dxa"/>
              <w:right w:w="0" w:type="dxa"/>
            </w:tcMar>
          </w:tcPr>
          <w:p w14:paraId="56F8B0D6" w14:textId="77777777" w:rsidR="00A61011" w:rsidRPr="00B26994" w:rsidRDefault="00A61011" w:rsidP="00A61011">
            <w:pPr>
              <w:pStyle w:val="Abkuerzung"/>
            </w:pPr>
            <w:r w:rsidRPr="00B26994">
              <w:t>Repertorio di Giurisprudenza Patria (Bellinzona)</w:t>
            </w:r>
          </w:p>
        </w:tc>
      </w:tr>
      <w:tr w:rsidR="00A61011" w:rsidRPr="00B26994" w14:paraId="064E79AE"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2694D305" w14:textId="77777777" w:rsidR="00A61011" w:rsidRPr="00B26994" w:rsidRDefault="00A61011" w:rsidP="00A61011">
            <w:pPr>
              <w:pStyle w:val="Abkuerzung"/>
            </w:pPr>
            <w:r w:rsidRPr="00B26994">
              <w:t>RJN</w:t>
            </w:r>
          </w:p>
        </w:tc>
        <w:tc>
          <w:tcPr>
            <w:tcW w:w="6237" w:type="dxa"/>
            <w:tcBorders>
              <w:top w:val="nil"/>
              <w:left w:val="nil"/>
              <w:bottom w:val="nil"/>
              <w:right w:val="nil"/>
            </w:tcBorders>
            <w:shd w:val="clear" w:color="auto" w:fill="auto"/>
            <w:tcMar>
              <w:top w:w="0" w:type="dxa"/>
              <w:left w:w="0" w:type="dxa"/>
              <w:bottom w:w="170" w:type="dxa"/>
              <w:right w:w="0" w:type="dxa"/>
            </w:tcMar>
          </w:tcPr>
          <w:p w14:paraId="36701E7D" w14:textId="77777777" w:rsidR="00A61011" w:rsidRPr="00615242" w:rsidRDefault="00A61011" w:rsidP="00A61011">
            <w:pPr>
              <w:pStyle w:val="Abkuerzung"/>
              <w:rPr>
                <w:lang w:val="fr-CH"/>
              </w:rPr>
            </w:pPr>
            <w:proofErr w:type="spellStart"/>
            <w:r w:rsidRPr="00ED3005">
              <w:t>Recueil</w:t>
            </w:r>
            <w:proofErr w:type="spellEnd"/>
            <w:r w:rsidRPr="00ED3005">
              <w:t xml:space="preserve"> de </w:t>
            </w:r>
            <w:proofErr w:type="spellStart"/>
            <w:r w:rsidRPr="00ED3005">
              <w:t>jurisprudence</w:t>
            </w:r>
            <w:proofErr w:type="spellEnd"/>
            <w:r w:rsidRPr="00ED3005">
              <w:t xml:space="preserve"> </w:t>
            </w:r>
            <w:proofErr w:type="spellStart"/>
            <w:r w:rsidRPr="00ED3005">
              <w:t>neuchâtelo</w:t>
            </w:r>
            <w:r w:rsidRPr="00615242">
              <w:rPr>
                <w:lang w:val="fr-CH"/>
              </w:rPr>
              <w:t>ise</w:t>
            </w:r>
            <w:proofErr w:type="spellEnd"/>
            <w:r w:rsidRPr="00615242">
              <w:rPr>
                <w:lang w:val="fr-CH"/>
              </w:rPr>
              <w:t xml:space="preserve"> (</w:t>
            </w:r>
            <w:proofErr w:type="spellStart"/>
            <w:r w:rsidRPr="00615242">
              <w:rPr>
                <w:lang w:val="fr-CH"/>
              </w:rPr>
              <w:t>Neuenburg</w:t>
            </w:r>
            <w:proofErr w:type="spellEnd"/>
            <w:r w:rsidRPr="00615242">
              <w:rPr>
                <w:lang w:val="fr-CH"/>
              </w:rPr>
              <w:t>)</w:t>
            </w:r>
          </w:p>
        </w:tc>
      </w:tr>
      <w:tr w:rsidR="00A61011" w:rsidRPr="005C616F" w14:paraId="167D0F98"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0B9EBAA4" w14:textId="77777777" w:rsidR="00A61011" w:rsidRPr="00B26994" w:rsidRDefault="00A61011" w:rsidP="00A61011">
            <w:pPr>
              <w:pStyle w:val="Abkuerzung"/>
            </w:pPr>
            <w:r w:rsidRPr="00B26994">
              <w:t>RPW</w:t>
            </w:r>
          </w:p>
        </w:tc>
        <w:tc>
          <w:tcPr>
            <w:tcW w:w="6237" w:type="dxa"/>
            <w:tcBorders>
              <w:top w:val="nil"/>
              <w:left w:val="nil"/>
              <w:bottom w:val="nil"/>
              <w:right w:val="nil"/>
            </w:tcBorders>
            <w:shd w:val="clear" w:color="auto" w:fill="auto"/>
            <w:tcMar>
              <w:top w:w="0" w:type="dxa"/>
              <w:left w:w="0" w:type="dxa"/>
              <w:bottom w:w="170" w:type="dxa"/>
              <w:right w:w="0" w:type="dxa"/>
            </w:tcMar>
          </w:tcPr>
          <w:p w14:paraId="636AE26B" w14:textId="77777777" w:rsidR="00A61011" w:rsidRPr="00B26994" w:rsidRDefault="00A61011" w:rsidP="00A61011">
            <w:pPr>
              <w:pStyle w:val="Abkuerzung"/>
            </w:pPr>
            <w:r w:rsidRPr="00B26994">
              <w:t>Recht und Politik des Wettbewerbs, Publikationsorgan der schweizerischen Wettbewerbsbehörden (Bern)</w:t>
            </w:r>
          </w:p>
        </w:tc>
      </w:tr>
      <w:tr w:rsidR="00A61011" w:rsidRPr="005C616F" w14:paraId="7D2D4E40"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56CC0333" w14:textId="77777777" w:rsidR="00A61011" w:rsidRPr="00B26994" w:rsidRDefault="00A61011" w:rsidP="00A61011">
            <w:pPr>
              <w:pStyle w:val="Abkuerzung"/>
            </w:pPr>
            <w:r w:rsidRPr="00B26994">
              <w:t>RRat</w:t>
            </w:r>
          </w:p>
        </w:tc>
        <w:tc>
          <w:tcPr>
            <w:tcW w:w="6237" w:type="dxa"/>
            <w:tcBorders>
              <w:top w:val="nil"/>
              <w:left w:val="nil"/>
              <w:bottom w:val="nil"/>
              <w:right w:val="nil"/>
            </w:tcBorders>
            <w:shd w:val="clear" w:color="auto" w:fill="auto"/>
            <w:tcMar>
              <w:top w:w="0" w:type="dxa"/>
              <w:left w:w="0" w:type="dxa"/>
              <w:bottom w:w="170" w:type="dxa"/>
              <w:right w:w="0" w:type="dxa"/>
            </w:tcMar>
          </w:tcPr>
          <w:p w14:paraId="6BA39238" w14:textId="77777777" w:rsidR="00A61011" w:rsidRPr="00B26994" w:rsidRDefault="00A61011" w:rsidP="00A61011">
            <w:pPr>
              <w:pStyle w:val="Abkuerzung"/>
            </w:pPr>
            <w:r w:rsidRPr="00B26994">
              <w:t>Regierungsrat</w:t>
            </w:r>
          </w:p>
        </w:tc>
      </w:tr>
      <w:tr w:rsidR="003A31C5" w:rsidRPr="005C616F" w14:paraId="1C847945"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389DC6CE" w14:textId="573A3ED2" w:rsidR="003A31C5" w:rsidRPr="00B26994" w:rsidRDefault="003A31C5" w:rsidP="00A61011">
            <w:pPr>
              <w:pStyle w:val="Abkuerzung"/>
            </w:pPr>
            <w:r>
              <w:t>RS</w:t>
            </w:r>
          </w:p>
        </w:tc>
        <w:tc>
          <w:tcPr>
            <w:tcW w:w="6237" w:type="dxa"/>
            <w:tcBorders>
              <w:top w:val="nil"/>
              <w:left w:val="nil"/>
              <w:bottom w:val="nil"/>
              <w:right w:val="nil"/>
            </w:tcBorders>
            <w:shd w:val="clear" w:color="auto" w:fill="auto"/>
            <w:tcMar>
              <w:top w:w="0" w:type="dxa"/>
              <w:left w:w="0" w:type="dxa"/>
              <w:bottom w:w="170" w:type="dxa"/>
              <w:right w:w="0" w:type="dxa"/>
            </w:tcMar>
          </w:tcPr>
          <w:p w14:paraId="17E08CC1" w14:textId="4F80A4A3" w:rsidR="003A31C5" w:rsidRPr="00B26994" w:rsidRDefault="003A31C5" w:rsidP="00A61011">
            <w:pPr>
              <w:pStyle w:val="Abkuerzung"/>
            </w:pPr>
            <w:r>
              <w:t>Rundschreiben</w:t>
            </w:r>
          </w:p>
        </w:tc>
      </w:tr>
      <w:tr w:rsidR="00A61011" w:rsidRPr="00E9441A" w14:paraId="1C81E8B8"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16E1B4DA" w14:textId="77777777" w:rsidR="00A61011" w:rsidRPr="00B26994" w:rsidRDefault="00A61011" w:rsidP="00A61011">
            <w:pPr>
              <w:pStyle w:val="Abkuerzung"/>
            </w:pPr>
            <w:r>
              <w:t>RVJ</w:t>
            </w:r>
          </w:p>
        </w:tc>
        <w:tc>
          <w:tcPr>
            <w:tcW w:w="6237" w:type="dxa"/>
            <w:tcBorders>
              <w:top w:val="nil"/>
              <w:left w:val="nil"/>
              <w:bottom w:val="nil"/>
              <w:right w:val="nil"/>
            </w:tcBorders>
            <w:shd w:val="clear" w:color="auto" w:fill="auto"/>
            <w:tcMar>
              <w:top w:w="0" w:type="dxa"/>
              <w:left w:w="0" w:type="dxa"/>
              <w:bottom w:w="170" w:type="dxa"/>
              <w:right w:w="0" w:type="dxa"/>
            </w:tcMar>
          </w:tcPr>
          <w:p w14:paraId="6BE3C823" w14:textId="77777777" w:rsidR="00A61011" w:rsidRPr="00615242" w:rsidRDefault="00A61011" w:rsidP="00A61011">
            <w:pPr>
              <w:pStyle w:val="Abkuerzung"/>
              <w:rPr>
                <w:lang w:val="fr-CH"/>
              </w:rPr>
            </w:pPr>
            <w:r w:rsidRPr="00615242">
              <w:rPr>
                <w:lang w:val="fr-CH"/>
              </w:rPr>
              <w:t>Revue valaisanne de jurisprudence (Sion) (= ZWR)</w:t>
            </w:r>
          </w:p>
        </w:tc>
      </w:tr>
      <w:tr w:rsidR="00A61011" w:rsidRPr="005C616F" w14:paraId="763D44F2"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3EC99404" w14:textId="77777777" w:rsidR="00A61011" w:rsidRPr="00B26994" w:rsidRDefault="00A61011" w:rsidP="00A61011">
            <w:pPr>
              <w:pStyle w:val="Abkuerzung"/>
            </w:pPr>
            <w:r w:rsidRPr="00B26994">
              <w:t>Rz.</w:t>
            </w:r>
          </w:p>
        </w:tc>
        <w:tc>
          <w:tcPr>
            <w:tcW w:w="6237" w:type="dxa"/>
            <w:tcBorders>
              <w:top w:val="nil"/>
              <w:left w:val="nil"/>
              <w:bottom w:val="nil"/>
              <w:right w:val="nil"/>
            </w:tcBorders>
            <w:shd w:val="clear" w:color="auto" w:fill="auto"/>
            <w:tcMar>
              <w:top w:w="0" w:type="dxa"/>
              <w:left w:w="0" w:type="dxa"/>
              <w:bottom w:w="170" w:type="dxa"/>
              <w:right w:w="0" w:type="dxa"/>
            </w:tcMar>
          </w:tcPr>
          <w:p w14:paraId="564027A2" w14:textId="77777777" w:rsidR="00A61011" w:rsidRPr="00B26994" w:rsidRDefault="00A61011" w:rsidP="00A61011">
            <w:pPr>
              <w:pStyle w:val="Abkuerzung"/>
            </w:pPr>
            <w:r w:rsidRPr="00B26994">
              <w:t>Randziffer(n)</w:t>
            </w:r>
          </w:p>
        </w:tc>
      </w:tr>
      <w:tr w:rsidR="00A61011" w:rsidRPr="005C616F" w14:paraId="0E90CBD0"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278AE29D" w14:textId="77777777" w:rsidR="00A61011" w:rsidRPr="00B26994" w:rsidRDefault="00A61011" w:rsidP="00A61011">
            <w:pPr>
              <w:pStyle w:val="Abkuerzung"/>
            </w:pPr>
            <w:r w:rsidRPr="00B26994">
              <w:t>SAG</w:t>
            </w:r>
          </w:p>
        </w:tc>
        <w:tc>
          <w:tcPr>
            <w:tcW w:w="6237" w:type="dxa"/>
            <w:tcBorders>
              <w:top w:val="nil"/>
              <w:left w:val="nil"/>
              <w:bottom w:val="nil"/>
              <w:right w:val="nil"/>
            </w:tcBorders>
            <w:shd w:val="clear" w:color="auto" w:fill="auto"/>
            <w:tcMar>
              <w:top w:w="0" w:type="dxa"/>
              <w:left w:w="0" w:type="dxa"/>
              <w:bottom w:w="170" w:type="dxa"/>
              <w:right w:w="0" w:type="dxa"/>
            </w:tcMar>
          </w:tcPr>
          <w:p w14:paraId="16246DB1" w14:textId="03BA0838" w:rsidR="00BD595B" w:rsidRPr="00B26994" w:rsidRDefault="00A61011" w:rsidP="00A61011">
            <w:pPr>
              <w:pStyle w:val="Abkuerzung"/>
            </w:pPr>
            <w:r w:rsidRPr="00B26994">
              <w:t>Schweizerische Aktiengesellschaft, seit 1990: SZW, Schweizerische Zeitschrift für Wirtschaftsrecht (Zürich)</w:t>
            </w:r>
          </w:p>
        </w:tc>
      </w:tr>
      <w:tr w:rsidR="00BD595B" w:rsidRPr="005C616F" w14:paraId="7F90C74D"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360FA27D" w14:textId="1E53B96D" w:rsidR="00BD595B" w:rsidRPr="00B26994" w:rsidRDefault="00BD595B" w:rsidP="00A61011">
            <w:pPr>
              <w:pStyle w:val="Abkuerzung"/>
            </w:pPr>
            <w:r>
              <w:t>SBT</w:t>
            </w:r>
          </w:p>
        </w:tc>
        <w:tc>
          <w:tcPr>
            <w:tcW w:w="6237" w:type="dxa"/>
            <w:tcBorders>
              <w:top w:val="nil"/>
              <w:left w:val="nil"/>
              <w:bottom w:val="nil"/>
              <w:right w:val="nil"/>
            </w:tcBorders>
            <w:shd w:val="clear" w:color="auto" w:fill="auto"/>
            <w:tcMar>
              <w:top w:w="0" w:type="dxa"/>
              <w:left w:w="0" w:type="dxa"/>
              <w:bottom w:w="170" w:type="dxa"/>
              <w:right w:w="0" w:type="dxa"/>
            </w:tcMar>
          </w:tcPr>
          <w:p w14:paraId="10D968A9" w14:textId="5204D687" w:rsidR="00BD595B" w:rsidRPr="00B26994" w:rsidRDefault="00BD595B" w:rsidP="00A61011">
            <w:pPr>
              <w:pStyle w:val="Abkuerzung"/>
            </w:pPr>
            <w:r>
              <w:t>Schweizerische Bankrechtstagung</w:t>
            </w:r>
          </w:p>
        </w:tc>
      </w:tr>
      <w:tr w:rsidR="00A61011" w:rsidRPr="005C616F" w14:paraId="1EF8AEA2"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63E799FE" w14:textId="77777777" w:rsidR="00A61011" w:rsidRPr="00B26994" w:rsidRDefault="00A61011" w:rsidP="00A61011">
            <w:pPr>
              <w:pStyle w:val="Abkuerzung"/>
            </w:pPr>
            <w:r w:rsidRPr="00B26994">
              <w:t>sc.</w:t>
            </w:r>
          </w:p>
        </w:tc>
        <w:tc>
          <w:tcPr>
            <w:tcW w:w="6237" w:type="dxa"/>
            <w:tcBorders>
              <w:top w:val="nil"/>
              <w:left w:val="nil"/>
              <w:bottom w:val="nil"/>
              <w:right w:val="nil"/>
            </w:tcBorders>
            <w:shd w:val="clear" w:color="auto" w:fill="auto"/>
            <w:tcMar>
              <w:top w:w="0" w:type="dxa"/>
              <w:left w:w="0" w:type="dxa"/>
              <w:bottom w:w="170" w:type="dxa"/>
              <w:right w:w="0" w:type="dxa"/>
            </w:tcMar>
          </w:tcPr>
          <w:p w14:paraId="470B7E4A" w14:textId="77777777" w:rsidR="00A61011" w:rsidRPr="00B26994" w:rsidRDefault="00A61011" w:rsidP="00A61011">
            <w:pPr>
              <w:pStyle w:val="Abkuerzung"/>
            </w:pPr>
            <w:r w:rsidRPr="00B26994">
              <w:t>scilicet (nämlich)</w:t>
            </w:r>
          </w:p>
        </w:tc>
      </w:tr>
      <w:tr w:rsidR="00A61011" w:rsidRPr="005C616F" w14:paraId="22127F51"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455036D9" w14:textId="77777777" w:rsidR="00A61011" w:rsidRPr="00B26994" w:rsidRDefault="00A61011" w:rsidP="00A61011">
            <w:pPr>
              <w:pStyle w:val="Abkuerzung"/>
            </w:pPr>
            <w:r w:rsidRPr="00B26994">
              <w:t>SchKG</w:t>
            </w:r>
          </w:p>
        </w:tc>
        <w:tc>
          <w:tcPr>
            <w:tcW w:w="6237" w:type="dxa"/>
            <w:tcBorders>
              <w:top w:val="nil"/>
              <w:left w:val="nil"/>
              <w:bottom w:val="nil"/>
              <w:right w:val="nil"/>
            </w:tcBorders>
            <w:shd w:val="clear" w:color="auto" w:fill="auto"/>
            <w:tcMar>
              <w:top w:w="0" w:type="dxa"/>
              <w:left w:w="0" w:type="dxa"/>
              <w:bottom w:w="170" w:type="dxa"/>
              <w:right w:w="0" w:type="dxa"/>
            </w:tcMar>
          </w:tcPr>
          <w:p w14:paraId="3154ECF0" w14:textId="77777777" w:rsidR="00A61011" w:rsidRPr="00B26994" w:rsidRDefault="00A61011" w:rsidP="00A61011">
            <w:pPr>
              <w:pStyle w:val="Abkuerzung"/>
            </w:pPr>
            <w:r w:rsidRPr="00B26994">
              <w:t>BG vom 11. April 1889 über Schuldbetreibung und Konkurs (SR 281.1)</w:t>
            </w:r>
          </w:p>
        </w:tc>
      </w:tr>
      <w:tr w:rsidR="00A61011" w:rsidRPr="005C616F" w14:paraId="6F0621BC"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779D4DE2" w14:textId="77777777" w:rsidR="00A61011" w:rsidRPr="00B26994" w:rsidRDefault="00A61011" w:rsidP="00A61011">
            <w:pPr>
              <w:pStyle w:val="Abkuerzung"/>
            </w:pPr>
            <w:r w:rsidRPr="00B26994">
              <w:t>Schweiz. PR</w:t>
            </w:r>
          </w:p>
        </w:tc>
        <w:tc>
          <w:tcPr>
            <w:tcW w:w="6237" w:type="dxa"/>
            <w:tcBorders>
              <w:top w:val="nil"/>
              <w:left w:val="nil"/>
              <w:bottom w:val="nil"/>
              <w:right w:val="nil"/>
            </w:tcBorders>
            <w:shd w:val="clear" w:color="auto" w:fill="auto"/>
            <w:tcMar>
              <w:top w:w="0" w:type="dxa"/>
              <w:left w:w="0" w:type="dxa"/>
              <w:bottom w:w="170" w:type="dxa"/>
              <w:right w:w="0" w:type="dxa"/>
            </w:tcMar>
          </w:tcPr>
          <w:p w14:paraId="68C1D49B" w14:textId="77777777" w:rsidR="00A61011" w:rsidRPr="00B26994" w:rsidRDefault="00A61011" w:rsidP="00A61011">
            <w:pPr>
              <w:pStyle w:val="Abkuerzung"/>
            </w:pPr>
            <w:r w:rsidRPr="00B26994">
              <w:t>Schweizerisches Privatrecht</w:t>
            </w:r>
          </w:p>
        </w:tc>
      </w:tr>
      <w:tr w:rsidR="00A61011" w:rsidRPr="005C616F" w14:paraId="19A93E0A"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59492AEC" w14:textId="77777777" w:rsidR="00A61011" w:rsidRPr="00B26994" w:rsidRDefault="00A61011" w:rsidP="00A61011">
            <w:pPr>
              <w:pStyle w:val="Abkuerzung"/>
            </w:pPr>
            <w:r w:rsidRPr="00B26994">
              <w:t>SemJud</w:t>
            </w:r>
          </w:p>
        </w:tc>
        <w:tc>
          <w:tcPr>
            <w:tcW w:w="6237" w:type="dxa"/>
            <w:tcBorders>
              <w:top w:val="nil"/>
              <w:left w:val="nil"/>
              <w:bottom w:val="nil"/>
              <w:right w:val="nil"/>
            </w:tcBorders>
            <w:shd w:val="clear" w:color="auto" w:fill="auto"/>
            <w:tcMar>
              <w:top w:w="0" w:type="dxa"/>
              <w:left w:w="0" w:type="dxa"/>
              <w:bottom w:w="170" w:type="dxa"/>
              <w:right w:w="0" w:type="dxa"/>
            </w:tcMar>
          </w:tcPr>
          <w:p w14:paraId="670082DD" w14:textId="77777777" w:rsidR="00A61011" w:rsidRPr="00B26994" w:rsidRDefault="00A61011" w:rsidP="00A61011">
            <w:pPr>
              <w:pStyle w:val="Abkuerzung"/>
            </w:pPr>
            <w:r w:rsidRPr="00B26994">
              <w:t>La semaine judiciaire (Genf)</w:t>
            </w:r>
          </w:p>
        </w:tc>
      </w:tr>
      <w:tr w:rsidR="00A61011" w:rsidRPr="005C616F" w14:paraId="229645EE"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1886DE7F" w14:textId="77777777" w:rsidR="00A61011" w:rsidRPr="00B26994" w:rsidRDefault="00A61011" w:rsidP="00A61011">
            <w:pPr>
              <w:pStyle w:val="Abkuerzung"/>
            </w:pPr>
            <w:r w:rsidRPr="00B26994">
              <w:t>SIA-Norm 118</w:t>
            </w:r>
          </w:p>
        </w:tc>
        <w:tc>
          <w:tcPr>
            <w:tcW w:w="6237" w:type="dxa"/>
            <w:tcBorders>
              <w:top w:val="nil"/>
              <w:left w:val="nil"/>
              <w:bottom w:val="nil"/>
              <w:right w:val="nil"/>
            </w:tcBorders>
            <w:shd w:val="clear" w:color="auto" w:fill="auto"/>
            <w:tcMar>
              <w:top w:w="0" w:type="dxa"/>
              <w:left w:w="0" w:type="dxa"/>
              <w:bottom w:w="170" w:type="dxa"/>
              <w:right w:w="0" w:type="dxa"/>
            </w:tcMar>
          </w:tcPr>
          <w:p w14:paraId="09126AC2" w14:textId="77777777" w:rsidR="00A61011" w:rsidRPr="00B26994" w:rsidRDefault="00A61011" w:rsidP="00A61011">
            <w:pPr>
              <w:pStyle w:val="Abkuerzung"/>
            </w:pPr>
            <w:r w:rsidRPr="00B26994">
              <w:t>Allgemeine Bedingungen für Bauarbeiten, herausgegeben vom SIA (Ausgabe 1977)</w:t>
            </w:r>
          </w:p>
        </w:tc>
      </w:tr>
      <w:tr w:rsidR="00A61011" w:rsidRPr="005C616F" w14:paraId="5062CE0A"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7A0590CD" w14:textId="77777777" w:rsidR="00A61011" w:rsidRPr="00B26994" w:rsidRDefault="00A61011" w:rsidP="00A61011">
            <w:pPr>
              <w:pStyle w:val="Abkuerzung"/>
            </w:pPr>
            <w:r>
              <w:t>SIC</w:t>
            </w:r>
          </w:p>
        </w:tc>
        <w:tc>
          <w:tcPr>
            <w:tcW w:w="6237" w:type="dxa"/>
            <w:tcBorders>
              <w:top w:val="nil"/>
              <w:left w:val="nil"/>
              <w:bottom w:val="nil"/>
              <w:right w:val="nil"/>
            </w:tcBorders>
            <w:shd w:val="clear" w:color="auto" w:fill="auto"/>
            <w:tcMar>
              <w:top w:w="0" w:type="dxa"/>
              <w:left w:w="0" w:type="dxa"/>
              <w:bottom w:w="170" w:type="dxa"/>
              <w:right w:w="0" w:type="dxa"/>
            </w:tcMar>
          </w:tcPr>
          <w:p w14:paraId="42910467" w14:textId="77777777" w:rsidR="00A61011" w:rsidRPr="00B26994" w:rsidRDefault="00A61011" w:rsidP="00A61011">
            <w:pPr>
              <w:pStyle w:val="Abkuerzung"/>
            </w:pPr>
            <w:r>
              <w:t>SIX Interbank Clearing</w:t>
            </w:r>
          </w:p>
        </w:tc>
      </w:tr>
      <w:tr w:rsidR="00A61011" w:rsidRPr="005C616F" w14:paraId="0422AB63"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798741AD" w14:textId="77777777" w:rsidR="00A61011" w:rsidRPr="00B26994" w:rsidRDefault="00A61011" w:rsidP="00A61011">
            <w:pPr>
              <w:pStyle w:val="Abkuerzung"/>
            </w:pPr>
            <w:r w:rsidRPr="00B26994">
              <w:t>SJK</w:t>
            </w:r>
          </w:p>
        </w:tc>
        <w:tc>
          <w:tcPr>
            <w:tcW w:w="6237" w:type="dxa"/>
            <w:tcBorders>
              <w:top w:val="nil"/>
              <w:left w:val="nil"/>
              <w:bottom w:val="nil"/>
              <w:right w:val="nil"/>
            </w:tcBorders>
            <w:shd w:val="clear" w:color="auto" w:fill="auto"/>
            <w:tcMar>
              <w:top w:w="0" w:type="dxa"/>
              <w:left w:w="0" w:type="dxa"/>
              <w:bottom w:w="170" w:type="dxa"/>
              <w:right w:w="0" w:type="dxa"/>
            </w:tcMar>
          </w:tcPr>
          <w:p w14:paraId="54EF8734" w14:textId="77777777" w:rsidR="00A61011" w:rsidRPr="00B26994" w:rsidRDefault="00A61011" w:rsidP="00A61011">
            <w:pPr>
              <w:pStyle w:val="Abkuerzung"/>
            </w:pPr>
            <w:r w:rsidRPr="00B26994">
              <w:t>Schweizerische Juristische Kartothek</w:t>
            </w:r>
          </w:p>
        </w:tc>
      </w:tr>
      <w:tr w:rsidR="00881E74" w:rsidRPr="005C616F" w14:paraId="0E55D210"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408A5716" w14:textId="0F4AE8CE" w:rsidR="00881E74" w:rsidRPr="00B26994" w:rsidRDefault="00881E74" w:rsidP="00A61011">
            <w:pPr>
              <w:pStyle w:val="Abkuerzung"/>
            </w:pPr>
            <w:r>
              <w:t>SIX</w:t>
            </w:r>
          </w:p>
        </w:tc>
        <w:tc>
          <w:tcPr>
            <w:tcW w:w="6237" w:type="dxa"/>
            <w:tcBorders>
              <w:top w:val="nil"/>
              <w:left w:val="nil"/>
              <w:bottom w:val="nil"/>
              <w:right w:val="nil"/>
            </w:tcBorders>
            <w:shd w:val="clear" w:color="auto" w:fill="auto"/>
            <w:tcMar>
              <w:top w:w="0" w:type="dxa"/>
              <w:left w:w="0" w:type="dxa"/>
              <w:bottom w:w="170" w:type="dxa"/>
              <w:right w:w="0" w:type="dxa"/>
            </w:tcMar>
          </w:tcPr>
          <w:p w14:paraId="163BC734" w14:textId="1C047E54" w:rsidR="00881E74" w:rsidRPr="00B26994" w:rsidRDefault="00881E74" w:rsidP="00A61011">
            <w:pPr>
              <w:pStyle w:val="Abkuerzung"/>
            </w:pPr>
            <w:r>
              <w:t>Swiss Infrastructure and Exchange</w:t>
            </w:r>
          </w:p>
        </w:tc>
      </w:tr>
      <w:tr w:rsidR="00A61011" w:rsidRPr="005C616F" w14:paraId="5FFB967E"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4115B21B" w14:textId="77777777" w:rsidR="00A61011" w:rsidRPr="00B26994" w:rsidRDefault="00A61011" w:rsidP="00A61011">
            <w:pPr>
              <w:pStyle w:val="Abkuerzung"/>
            </w:pPr>
            <w:r w:rsidRPr="00B26994">
              <w:t>SJZ</w:t>
            </w:r>
          </w:p>
        </w:tc>
        <w:tc>
          <w:tcPr>
            <w:tcW w:w="6237" w:type="dxa"/>
            <w:tcBorders>
              <w:top w:val="nil"/>
              <w:left w:val="nil"/>
              <w:bottom w:val="nil"/>
              <w:right w:val="nil"/>
            </w:tcBorders>
            <w:shd w:val="clear" w:color="auto" w:fill="auto"/>
            <w:tcMar>
              <w:top w:w="0" w:type="dxa"/>
              <w:left w:w="0" w:type="dxa"/>
              <w:bottom w:w="170" w:type="dxa"/>
              <w:right w:w="0" w:type="dxa"/>
            </w:tcMar>
          </w:tcPr>
          <w:p w14:paraId="785E9809" w14:textId="77777777" w:rsidR="00A61011" w:rsidRPr="00B26994" w:rsidRDefault="00A61011" w:rsidP="00A61011">
            <w:pPr>
              <w:pStyle w:val="Abkuerzung"/>
            </w:pPr>
            <w:r w:rsidRPr="00B26994">
              <w:t>Schweizerische Juristen-Zeitung (Zürich)</w:t>
            </w:r>
          </w:p>
        </w:tc>
      </w:tr>
      <w:tr w:rsidR="00A61011" w:rsidRPr="005C616F" w14:paraId="0BFE6C55"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51C9381D" w14:textId="77777777" w:rsidR="00A61011" w:rsidRPr="00B26994" w:rsidRDefault="00A61011" w:rsidP="00A61011">
            <w:pPr>
              <w:pStyle w:val="Abkuerzung"/>
            </w:pPr>
            <w:r w:rsidRPr="00B26994">
              <w:t>SOG</w:t>
            </w:r>
          </w:p>
        </w:tc>
        <w:tc>
          <w:tcPr>
            <w:tcW w:w="6237" w:type="dxa"/>
            <w:tcBorders>
              <w:top w:val="nil"/>
              <w:left w:val="nil"/>
              <w:bottom w:val="nil"/>
              <w:right w:val="nil"/>
            </w:tcBorders>
            <w:shd w:val="clear" w:color="auto" w:fill="auto"/>
            <w:tcMar>
              <w:top w:w="0" w:type="dxa"/>
              <w:left w:w="0" w:type="dxa"/>
              <w:bottom w:w="170" w:type="dxa"/>
              <w:right w:w="0" w:type="dxa"/>
            </w:tcMar>
          </w:tcPr>
          <w:p w14:paraId="2F7A904B" w14:textId="77777777" w:rsidR="00A61011" w:rsidRPr="00B26994" w:rsidRDefault="00A61011" w:rsidP="00A61011">
            <w:pPr>
              <w:pStyle w:val="Abkuerzung"/>
            </w:pPr>
            <w:r w:rsidRPr="00B26994">
              <w:t>Solothurnische Gerichtspraxis (Solothurn)</w:t>
            </w:r>
          </w:p>
        </w:tc>
      </w:tr>
      <w:tr w:rsidR="00A61011" w:rsidRPr="005C616F" w14:paraId="49878435"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143B357E" w14:textId="77777777" w:rsidR="00A61011" w:rsidRPr="00B26994" w:rsidRDefault="00A61011" w:rsidP="00A61011">
            <w:pPr>
              <w:pStyle w:val="Abkuerzung"/>
            </w:pPr>
            <w:r w:rsidRPr="00B26994">
              <w:t>StGB</w:t>
            </w:r>
          </w:p>
        </w:tc>
        <w:tc>
          <w:tcPr>
            <w:tcW w:w="6237" w:type="dxa"/>
            <w:tcBorders>
              <w:top w:val="nil"/>
              <w:left w:val="nil"/>
              <w:bottom w:val="nil"/>
              <w:right w:val="nil"/>
            </w:tcBorders>
            <w:shd w:val="clear" w:color="auto" w:fill="auto"/>
            <w:tcMar>
              <w:top w:w="0" w:type="dxa"/>
              <w:left w:w="0" w:type="dxa"/>
              <w:bottom w:w="170" w:type="dxa"/>
              <w:right w:w="0" w:type="dxa"/>
            </w:tcMar>
          </w:tcPr>
          <w:p w14:paraId="3E7FD7D3" w14:textId="77777777" w:rsidR="00A61011" w:rsidRPr="00B26994" w:rsidRDefault="00A61011" w:rsidP="00A61011">
            <w:pPr>
              <w:pStyle w:val="Abkuerzung"/>
            </w:pPr>
            <w:r w:rsidRPr="00B26994">
              <w:t>Schweizerisches Strafgesetzbuch vom 21. Dezember 1937 (SR 311.0)</w:t>
            </w:r>
          </w:p>
        </w:tc>
      </w:tr>
      <w:tr w:rsidR="00A61011" w:rsidRPr="005C616F" w14:paraId="684E7C21"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6167B4A6" w14:textId="77777777" w:rsidR="00A61011" w:rsidRPr="00B26994" w:rsidRDefault="00A61011" w:rsidP="00A61011">
            <w:pPr>
              <w:pStyle w:val="Abkuerzung"/>
            </w:pPr>
            <w:r w:rsidRPr="00B26994">
              <w:t>SVZ</w:t>
            </w:r>
          </w:p>
        </w:tc>
        <w:tc>
          <w:tcPr>
            <w:tcW w:w="6237" w:type="dxa"/>
            <w:tcBorders>
              <w:top w:val="nil"/>
              <w:left w:val="nil"/>
              <w:bottom w:val="nil"/>
              <w:right w:val="nil"/>
            </w:tcBorders>
            <w:shd w:val="clear" w:color="auto" w:fill="auto"/>
            <w:tcMar>
              <w:top w:w="0" w:type="dxa"/>
              <w:left w:w="0" w:type="dxa"/>
              <w:bottom w:w="170" w:type="dxa"/>
              <w:right w:w="0" w:type="dxa"/>
            </w:tcMar>
          </w:tcPr>
          <w:p w14:paraId="628A2230" w14:textId="77777777" w:rsidR="00A61011" w:rsidRPr="00B26994" w:rsidRDefault="00A61011" w:rsidP="00A61011">
            <w:pPr>
              <w:pStyle w:val="Abkuerzung"/>
            </w:pPr>
            <w:r w:rsidRPr="00B26994">
              <w:t>Schweizerische Versicherungs-Zeitschrift (Bern)</w:t>
            </w:r>
          </w:p>
        </w:tc>
      </w:tr>
      <w:tr w:rsidR="00A61011" w:rsidRPr="005C616F" w14:paraId="51A6F52E"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2D152648" w14:textId="77777777" w:rsidR="00A61011" w:rsidRPr="00B26994" w:rsidRDefault="00A61011" w:rsidP="00A61011">
            <w:pPr>
              <w:pStyle w:val="Abkuerzung"/>
            </w:pPr>
            <w:r w:rsidRPr="00B26994">
              <w:t>SZIER</w:t>
            </w:r>
          </w:p>
        </w:tc>
        <w:tc>
          <w:tcPr>
            <w:tcW w:w="6237" w:type="dxa"/>
            <w:tcBorders>
              <w:top w:val="nil"/>
              <w:left w:val="nil"/>
              <w:bottom w:val="nil"/>
              <w:right w:val="nil"/>
            </w:tcBorders>
            <w:shd w:val="clear" w:color="auto" w:fill="auto"/>
            <w:tcMar>
              <w:top w:w="0" w:type="dxa"/>
              <w:left w:w="0" w:type="dxa"/>
              <w:bottom w:w="170" w:type="dxa"/>
              <w:right w:w="0" w:type="dxa"/>
            </w:tcMar>
          </w:tcPr>
          <w:p w14:paraId="1F6A7213" w14:textId="77777777" w:rsidR="00A61011" w:rsidRPr="00B26994" w:rsidRDefault="00A61011" w:rsidP="00A61011">
            <w:pPr>
              <w:pStyle w:val="Abkuerzung"/>
            </w:pPr>
            <w:r w:rsidRPr="00B26994">
              <w:t>Schweizerische Zeitschrift für internationales und europäisches Recht (Zürich)</w:t>
            </w:r>
          </w:p>
        </w:tc>
      </w:tr>
      <w:tr w:rsidR="00A61011" w:rsidRPr="005C616F" w14:paraId="4819D040"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0D18BAFC" w14:textId="77777777" w:rsidR="00A61011" w:rsidRPr="00B26994" w:rsidRDefault="00A61011" w:rsidP="00A61011">
            <w:pPr>
              <w:pStyle w:val="Abkuerzung"/>
            </w:pPr>
            <w:r w:rsidRPr="00B26994">
              <w:t>SZW</w:t>
            </w:r>
          </w:p>
        </w:tc>
        <w:tc>
          <w:tcPr>
            <w:tcW w:w="6237" w:type="dxa"/>
            <w:tcBorders>
              <w:top w:val="nil"/>
              <w:left w:val="nil"/>
              <w:bottom w:val="nil"/>
              <w:right w:val="nil"/>
            </w:tcBorders>
            <w:shd w:val="clear" w:color="auto" w:fill="auto"/>
            <w:tcMar>
              <w:top w:w="0" w:type="dxa"/>
              <w:left w:w="0" w:type="dxa"/>
              <w:bottom w:w="170" w:type="dxa"/>
              <w:right w:w="0" w:type="dxa"/>
            </w:tcMar>
          </w:tcPr>
          <w:p w14:paraId="08C9FDC9" w14:textId="77777777" w:rsidR="00A61011" w:rsidRPr="00B26994" w:rsidRDefault="00A61011" w:rsidP="00A61011">
            <w:pPr>
              <w:pStyle w:val="Abkuerzung"/>
            </w:pPr>
            <w:r w:rsidRPr="00B26994">
              <w:t>Schweizerische Zeitschrift für Wirtschaftsrecht (Zürich; bis 1989 SAG)</w:t>
            </w:r>
          </w:p>
        </w:tc>
      </w:tr>
      <w:tr w:rsidR="00A61011" w:rsidRPr="005C616F" w14:paraId="71515436"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364CC17D" w14:textId="77777777" w:rsidR="00A61011" w:rsidRPr="00B26994" w:rsidRDefault="00A61011" w:rsidP="00A61011">
            <w:pPr>
              <w:pStyle w:val="Abkuerzung"/>
            </w:pPr>
            <w:r w:rsidRPr="00B26994">
              <w:lastRenderedPageBreak/>
              <w:t>UWG</w:t>
            </w:r>
          </w:p>
        </w:tc>
        <w:tc>
          <w:tcPr>
            <w:tcW w:w="6237" w:type="dxa"/>
            <w:tcBorders>
              <w:top w:val="nil"/>
              <w:left w:val="nil"/>
              <w:bottom w:val="nil"/>
              <w:right w:val="nil"/>
            </w:tcBorders>
            <w:shd w:val="clear" w:color="auto" w:fill="auto"/>
            <w:tcMar>
              <w:top w:w="0" w:type="dxa"/>
              <w:left w:w="0" w:type="dxa"/>
              <w:bottom w:w="170" w:type="dxa"/>
              <w:right w:w="0" w:type="dxa"/>
            </w:tcMar>
          </w:tcPr>
          <w:p w14:paraId="39A7B180" w14:textId="77777777" w:rsidR="00A61011" w:rsidRPr="00B26994" w:rsidRDefault="00A61011" w:rsidP="00A61011">
            <w:pPr>
              <w:pStyle w:val="Abkuerzung"/>
            </w:pPr>
            <w:r w:rsidRPr="00B26994">
              <w:t xml:space="preserve">BG gegen den unlauteren Wettbewerb vom 19. Dezember 1986 </w:t>
            </w:r>
            <w:r>
              <w:br/>
            </w:r>
            <w:r w:rsidRPr="00B26994">
              <w:t>(SR 241)</w:t>
            </w:r>
          </w:p>
        </w:tc>
      </w:tr>
      <w:tr w:rsidR="00A61011" w:rsidRPr="005C616F" w14:paraId="50AF0B21"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58189E37" w14:textId="77777777" w:rsidR="00A61011" w:rsidRPr="00B26994" w:rsidRDefault="00A61011" w:rsidP="00A61011">
            <w:pPr>
              <w:pStyle w:val="Abkuerzung"/>
            </w:pPr>
            <w:r w:rsidRPr="00B26994">
              <w:t>V</w:t>
            </w:r>
          </w:p>
        </w:tc>
        <w:tc>
          <w:tcPr>
            <w:tcW w:w="6237" w:type="dxa"/>
            <w:tcBorders>
              <w:top w:val="nil"/>
              <w:left w:val="nil"/>
              <w:bottom w:val="nil"/>
              <w:right w:val="nil"/>
            </w:tcBorders>
            <w:shd w:val="clear" w:color="auto" w:fill="auto"/>
            <w:tcMar>
              <w:top w:w="0" w:type="dxa"/>
              <w:left w:w="0" w:type="dxa"/>
              <w:bottom w:w="170" w:type="dxa"/>
              <w:right w:w="0" w:type="dxa"/>
            </w:tcMar>
          </w:tcPr>
          <w:p w14:paraId="437A94E6" w14:textId="77777777" w:rsidR="00A61011" w:rsidRPr="00B26994" w:rsidRDefault="00A61011" w:rsidP="00A61011">
            <w:pPr>
              <w:pStyle w:val="Abkuerzung"/>
            </w:pPr>
            <w:r w:rsidRPr="00B26994">
              <w:t>Verordnung</w:t>
            </w:r>
          </w:p>
        </w:tc>
      </w:tr>
      <w:tr w:rsidR="00A61011" w:rsidRPr="005C616F" w14:paraId="4CB7A2CB"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664AC714" w14:textId="77777777" w:rsidR="00A61011" w:rsidRPr="00B26994" w:rsidRDefault="00A61011" w:rsidP="00A61011">
            <w:pPr>
              <w:pStyle w:val="Abkuerzung"/>
            </w:pPr>
            <w:r w:rsidRPr="00B26994">
              <w:t>VerwGer</w:t>
            </w:r>
          </w:p>
        </w:tc>
        <w:tc>
          <w:tcPr>
            <w:tcW w:w="6237" w:type="dxa"/>
            <w:tcBorders>
              <w:top w:val="nil"/>
              <w:left w:val="nil"/>
              <w:bottom w:val="nil"/>
              <w:right w:val="nil"/>
            </w:tcBorders>
            <w:shd w:val="clear" w:color="auto" w:fill="auto"/>
            <w:tcMar>
              <w:top w:w="0" w:type="dxa"/>
              <w:left w:w="0" w:type="dxa"/>
              <w:bottom w:w="170" w:type="dxa"/>
              <w:right w:w="0" w:type="dxa"/>
            </w:tcMar>
          </w:tcPr>
          <w:p w14:paraId="5DC43F27" w14:textId="77777777" w:rsidR="00A61011" w:rsidRPr="00B26994" w:rsidRDefault="00A61011" w:rsidP="00A61011">
            <w:pPr>
              <w:pStyle w:val="Abkuerzung"/>
            </w:pPr>
            <w:r w:rsidRPr="00B26994">
              <w:t>Verwaltungsgericht</w:t>
            </w:r>
          </w:p>
        </w:tc>
      </w:tr>
      <w:tr w:rsidR="00A61011" w:rsidRPr="005C616F" w14:paraId="09AC59F4"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3BED279A" w14:textId="77777777" w:rsidR="00A61011" w:rsidRPr="00B26994" w:rsidRDefault="00A61011" w:rsidP="00A61011">
            <w:pPr>
              <w:pStyle w:val="Abkuerzung"/>
            </w:pPr>
            <w:r w:rsidRPr="00B26994">
              <w:t>VGG</w:t>
            </w:r>
          </w:p>
        </w:tc>
        <w:tc>
          <w:tcPr>
            <w:tcW w:w="6237" w:type="dxa"/>
            <w:tcBorders>
              <w:top w:val="nil"/>
              <w:left w:val="nil"/>
              <w:bottom w:val="nil"/>
              <w:right w:val="nil"/>
            </w:tcBorders>
            <w:shd w:val="clear" w:color="auto" w:fill="auto"/>
            <w:tcMar>
              <w:top w:w="0" w:type="dxa"/>
              <w:left w:w="0" w:type="dxa"/>
              <w:bottom w:w="170" w:type="dxa"/>
              <w:right w:w="0" w:type="dxa"/>
            </w:tcMar>
          </w:tcPr>
          <w:p w14:paraId="14152154" w14:textId="77777777" w:rsidR="00A61011" w:rsidRPr="00B26994" w:rsidRDefault="00A61011" w:rsidP="00A61011">
            <w:pPr>
              <w:pStyle w:val="Abkuerzung"/>
            </w:pPr>
            <w:r w:rsidRPr="00B26994">
              <w:t>BG über das Bundesverwaltungsgericht (Verwaltungsgerichtsgesetz) vom 17. Juni 2005 (SR 173.32)</w:t>
            </w:r>
          </w:p>
        </w:tc>
      </w:tr>
      <w:tr w:rsidR="00A61011" w:rsidRPr="005C616F" w14:paraId="4BC651DC"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34038F3A" w14:textId="77777777" w:rsidR="00A61011" w:rsidRPr="00B26994" w:rsidRDefault="00A61011" w:rsidP="00A61011">
            <w:pPr>
              <w:pStyle w:val="Abkuerzung"/>
            </w:pPr>
            <w:r w:rsidRPr="00B26994">
              <w:t>VKK/VKKP</w:t>
            </w:r>
          </w:p>
        </w:tc>
        <w:tc>
          <w:tcPr>
            <w:tcW w:w="6237" w:type="dxa"/>
            <w:tcBorders>
              <w:top w:val="nil"/>
              <w:left w:val="nil"/>
              <w:bottom w:val="nil"/>
              <w:right w:val="nil"/>
            </w:tcBorders>
            <w:shd w:val="clear" w:color="auto" w:fill="auto"/>
            <w:tcMar>
              <w:top w:w="0" w:type="dxa"/>
              <w:left w:w="0" w:type="dxa"/>
              <w:bottom w:w="170" w:type="dxa"/>
              <w:right w:w="0" w:type="dxa"/>
            </w:tcMar>
          </w:tcPr>
          <w:p w14:paraId="079A76A5" w14:textId="77777777" w:rsidR="00A61011" w:rsidRPr="00B26994" w:rsidRDefault="00A61011" w:rsidP="00A61011">
            <w:pPr>
              <w:pStyle w:val="Abkuerzung"/>
            </w:pPr>
            <w:r w:rsidRPr="00B26994">
              <w:t xml:space="preserve">Veröffentlichungen der </w:t>
            </w:r>
            <w:proofErr w:type="gramStart"/>
            <w:r w:rsidRPr="00B26994">
              <w:t>Schweizerischen</w:t>
            </w:r>
            <w:proofErr w:type="gramEnd"/>
            <w:r w:rsidRPr="00B26994">
              <w:t xml:space="preserve"> Kartellkommission (und des Preisüberwachers) (Bern)</w:t>
            </w:r>
          </w:p>
        </w:tc>
      </w:tr>
      <w:tr w:rsidR="00A61011" w:rsidRPr="005C616F" w14:paraId="7B06E2FA"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2A7847CA" w14:textId="77777777" w:rsidR="00A61011" w:rsidRPr="00B26994" w:rsidRDefault="00A61011" w:rsidP="00A61011">
            <w:pPr>
              <w:pStyle w:val="Abkuerzung"/>
            </w:pPr>
            <w:r w:rsidRPr="00B26994">
              <w:t>VPB</w:t>
            </w:r>
          </w:p>
        </w:tc>
        <w:tc>
          <w:tcPr>
            <w:tcW w:w="6237" w:type="dxa"/>
            <w:tcBorders>
              <w:top w:val="nil"/>
              <w:left w:val="nil"/>
              <w:bottom w:val="nil"/>
              <w:right w:val="nil"/>
            </w:tcBorders>
            <w:shd w:val="clear" w:color="auto" w:fill="auto"/>
            <w:tcMar>
              <w:top w:w="0" w:type="dxa"/>
              <w:left w:w="0" w:type="dxa"/>
              <w:bottom w:w="170" w:type="dxa"/>
              <w:right w:w="0" w:type="dxa"/>
            </w:tcMar>
          </w:tcPr>
          <w:p w14:paraId="6366D504" w14:textId="77777777" w:rsidR="00A61011" w:rsidRPr="00B26994" w:rsidRDefault="00A61011" w:rsidP="00A61011">
            <w:pPr>
              <w:pStyle w:val="Abkuerzung"/>
            </w:pPr>
            <w:r w:rsidRPr="00B26994">
              <w:t>Verwaltungspraxis der Bundesbehörden (Bern)</w:t>
            </w:r>
          </w:p>
        </w:tc>
      </w:tr>
      <w:tr w:rsidR="00A61011" w:rsidRPr="005C616F" w14:paraId="14168096"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76E38508" w14:textId="77777777" w:rsidR="00A61011" w:rsidRPr="00B26994" w:rsidRDefault="00A61011" w:rsidP="00A61011">
            <w:pPr>
              <w:pStyle w:val="Abkuerzung"/>
            </w:pPr>
            <w:r w:rsidRPr="00B26994">
              <w:t>VVG</w:t>
            </w:r>
          </w:p>
        </w:tc>
        <w:tc>
          <w:tcPr>
            <w:tcW w:w="6237" w:type="dxa"/>
            <w:tcBorders>
              <w:top w:val="nil"/>
              <w:left w:val="nil"/>
              <w:bottom w:val="nil"/>
              <w:right w:val="nil"/>
            </w:tcBorders>
            <w:shd w:val="clear" w:color="auto" w:fill="auto"/>
            <w:tcMar>
              <w:top w:w="0" w:type="dxa"/>
              <w:left w:w="0" w:type="dxa"/>
              <w:bottom w:w="170" w:type="dxa"/>
              <w:right w:w="0" w:type="dxa"/>
            </w:tcMar>
          </w:tcPr>
          <w:p w14:paraId="11736C82" w14:textId="77777777" w:rsidR="00A61011" w:rsidRPr="00B26994" w:rsidRDefault="00A61011" w:rsidP="00A61011">
            <w:pPr>
              <w:pStyle w:val="Abkuerzung"/>
            </w:pPr>
            <w:r w:rsidRPr="00B26994">
              <w:t>BG über den Versicherungsvertrag vom 2. April 1908 (SR 221.229.1)</w:t>
            </w:r>
          </w:p>
        </w:tc>
      </w:tr>
      <w:tr w:rsidR="00A61011" w:rsidRPr="005C616F" w14:paraId="63616C52"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3E4FA74D" w14:textId="77777777" w:rsidR="00A61011" w:rsidRPr="00B26994" w:rsidRDefault="00A61011" w:rsidP="00A61011">
            <w:pPr>
              <w:pStyle w:val="Abkuerzung"/>
            </w:pPr>
            <w:r>
              <w:t>VwV </w:t>
            </w:r>
          </w:p>
        </w:tc>
        <w:tc>
          <w:tcPr>
            <w:tcW w:w="6237" w:type="dxa"/>
            <w:tcBorders>
              <w:top w:val="nil"/>
              <w:left w:val="nil"/>
              <w:bottom w:val="nil"/>
              <w:right w:val="nil"/>
            </w:tcBorders>
            <w:shd w:val="clear" w:color="auto" w:fill="auto"/>
            <w:tcMar>
              <w:top w:w="0" w:type="dxa"/>
              <w:left w:w="0" w:type="dxa"/>
              <w:bottom w:w="170" w:type="dxa"/>
              <w:right w:w="0" w:type="dxa"/>
            </w:tcMar>
          </w:tcPr>
          <w:p w14:paraId="10D20047" w14:textId="77777777" w:rsidR="00A61011" w:rsidRPr="00B26994" w:rsidRDefault="00A61011" w:rsidP="00A61011">
            <w:pPr>
              <w:pStyle w:val="Abkuerzung"/>
            </w:pPr>
            <w:r>
              <w:t xml:space="preserve">BG über das </w:t>
            </w:r>
            <w:r w:rsidRPr="00B26994">
              <w:t>Verwaltungsverfahren</w:t>
            </w:r>
            <w:r>
              <w:t xml:space="preserve"> (Verwaltungsverfahrensgesetz) vom 20. Dezember 1968 (SR 172.021)</w:t>
            </w:r>
          </w:p>
        </w:tc>
      </w:tr>
      <w:tr w:rsidR="00A61011" w:rsidRPr="005C616F" w14:paraId="63DC8962"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3695B7B8" w14:textId="77777777" w:rsidR="00A61011" w:rsidRPr="00B26994" w:rsidRDefault="00A61011" w:rsidP="00A61011">
            <w:pPr>
              <w:pStyle w:val="Abkuerzung"/>
            </w:pPr>
            <w:r w:rsidRPr="00B26994">
              <w:t>WKR</w:t>
            </w:r>
          </w:p>
        </w:tc>
        <w:tc>
          <w:tcPr>
            <w:tcW w:w="6237" w:type="dxa"/>
            <w:tcBorders>
              <w:top w:val="nil"/>
              <w:left w:val="nil"/>
              <w:bottom w:val="nil"/>
              <w:right w:val="nil"/>
            </w:tcBorders>
            <w:shd w:val="clear" w:color="auto" w:fill="auto"/>
            <w:tcMar>
              <w:top w:w="0" w:type="dxa"/>
              <w:left w:w="0" w:type="dxa"/>
              <w:bottom w:w="170" w:type="dxa"/>
              <w:right w:w="0" w:type="dxa"/>
            </w:tcMar>
          </w:tcPr>
          <w:p w14:paraId="28B5DC98" w14:textId="77777777" w:rsidR="00A61011" w:rsidRPr="00B26994" w:rsidRDefault="00A61011" w:rsidP="00A61011">
            <w:pPr>
              <w:pStyle w:val="Abkuerzung"/>
            </w:pPr>
            <w:r w:rsidRPr="00B26994">
              <w:t>«Wiener Kaufrecht»: Übereinkomm</w:t>
            </w:r>
            <w:r>
              <w:t xml:space="preserve">en der Vereinten Nationen über </w:t>
            </w:r>
            <w:r w:rsidRPr="00B26994">
              <w:t xml:space="preserve">Verträge über den internationalen Warenkauf vom 11. April 1980 </w:t>
            </w:r>
            <w:r>
              <w:br/>
            </w:r>
            <w:r w:rsidRPr="00B26994">
              <w:t>(= CISG; SR 0.221.211.1)</w:t>
            </w:r>
          </w:p>
        </w:tc>
      </w:tr>
      <w:tr w:rsidR="00881E74" w:rsidRPr="005C616F" w14:paraId="7855C23D"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577B90A8" w14:textId="71D94C8D" w:rsidR="00881E74" w:rsidRPr="00B26994" w:rsidRDefault="00881E74" w:rsidP="00A61011">
            <w:pPr>
              <w:pStyle w:val="Abkuerzung"/>
            </w:pPr>
            <w:r>
              <w:t>WTO</w:t>
            </w:r>
          </w:p>
        </w:tc>
        <w:tc>
          <w:tcPr>
            <w:tcW w:w="6237" w:type="dxa"/>
            <w:tcBorders>
              <w:top w:val="nil"/>
              <w:left w:val="nil"/>
              <w:bottom w:val="nil"/>
              <w:right w:val="nil"/>
            </w:tcBorders>
            <w:shd w:val="clear" w:color="auto" w:fill="auto"/>
            <w:tcMar>
              <w:top w:w="0" w:type="dxa"/>
              <w:left w:w="0" w:type="dxa"/>
              <w:bottom w:w="170" w:type="dxa"/>
              <w:right w:w="0" w:type="dxa"/>
            </w:tcMar>
          </w:tcPr>
          <w:p w14:paraId="3A696508" w14:textId="4B267015" w:rsidR="00881E74" w:rsidRPr="00B26994" w:rsidRDefault="00881E74" w:rsidP="00A61011">
            <w:pPr>
              <w:pStyle w:val="Abkuerzung"/>
            </w:pPr>
            <w:r>
              <w:t>World Trade Organisation</w:t>
            </w:r>
          </w:p>
        </w:tc>
      </w:tr>
      <w:tr w:rsidR="00A61011" w:rsidRPr="005C616F" w14:paraId="3B1480E7"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30BB47F0" w14:textId="77777777" w:rsidR="00A61011" w:rsidRPr="00B26994" w:rsidRDefault="00A61011" w:rsidP="00A61011">
            <w:pPr>
              <w:pStyle w:val="Abkuerzung"/>
            </w:pPr>
            <w:r w:rsidRPr="00B26994">
              <w:t>WuR</w:t>
            </w:r>
          </w:p>
        </w:tc>
        <w:tc>
          <w:tcPr>
            <w:tcW w:w="6237" w:type="dxa"/>
            <w:tcBorders>
              <w:top w:val="nil"/>
              <w:left w:val="nil"/>
              <w:bottom w:val="nil"/>
              <w:right w:val="nil"/>
            </w:tcBorders>
            <w:shd w:val="clear" w:color="auto" w:fill="auto"/>
            <w:tcMar>
              <w:top w:w="0" w:type="dxa"/>
              <w:left w:w="0" w:type="dxa"/>
              <w:bottom w:w="170" w:type="dxa"/>
              <w:right w:w="0" w:type="dxa"/>
            </w:tcMar>
          </w:tcPr>
          <w:p w14:paraId="1BC3A16D" w14:textId="77777777" w:rsidR="00A61011" w:rsidRPr="00B26994" w:rsidRDefault="00A61011" w:rsidP="00A61011">
            <w:pPr>
              <w:pStyle w:val="Abkuerzung"/>
            </w:pPr>
            <w:r w:rsidRPr="00B26994">
              <w:t>Wirtschaft und Recht (Zürich)</w:t>
            </w:r>
          </w:p>
        </w:tc>
      </w:tr>
      <w:tr w:rsidR="00A61011" w:rsidRPr="005C616F" w14:paraId="086A13FC"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1CA20180" w14:textId="77777777" w:rsidR="00A61011" w:rsidRPr="00B26994" w:rsidRDefault="00A61011" w:rsidP="00A61011">
            <w:pPr>
              <w:pStyle w:val="Abkuerzung"/>
            </w:pPr>
            <w:r>
              <w:t>WZG</w:t>
            </w:r>
          </w:p>
        </w:tc>
        <w:tc>
          <w:tcPr>
            <w:tcW w:w="6237" w:type="dxa"/>
            <w:tcBorders>
              <w:top w:val="nil"/>
              <w:left w:val="nil"/>
              <w:bottom w:val="nil"/>
              <w:right w:val="nil"/>
            </w:tcBorders>
            <w:shd w:val="clear" w:color="auto" w:fill="auto"/>
            <w:tcMar>
              <w:top w:w="0" w:type="dxa"/>
              <w:left w:w="0" w:type="dxa"/>
              <w:bottom w:w="170" w:type="dxa"/>
              <w:right w:w="0" w:type="dxa"/>
            </w:tcMar>
          </w:tcPr>
          <w:p w14:paraId="0E204E57" w14:textId="77777777" w:rsidR="00A61011" w:rsidRPr="00B26994" w:rsidRDefault="00A61011" w:rsidP="00A61011">
            <w:pPr>
              <w:pStyle w:val="Abkuerzung"/>
            </w:pPr>
            <w:r>
              <w:t xml:space="preserve">BG über die Währung und Zahlungsmittel vom 22. Dezember 1999 </w:t>
            </w:r>
            <w:r>
              <w:br/>
              <w:t>(SR 941.10)</w:t>
            </w:r>
          </w:p>
        </w:tc>
      </w:tr>
      <w:tr w:rsidR="00A61011" w:rsidRPr="005C616F" w14:paraId="1891F727"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61456E45" w14:textId="77777777" w:rsidR="00A61011" w:rsidRPr="00B26994" w:rsidRDefault="00A61011" w:rsidP="00A61011">
            <w:pPr>
              <w:pStyle w:val="Abkuerzung"/>
            </w:pPr>
            <w:r w:rsidRPr="00B26994">
              <w:t>ZBJV</w:t>
            </w:r>
          </w:p>
        </w:tc>
        <w:tc>
          <w:tcPr>
            <w:tcW w:w="6237" w:type="dxa"/>
            <w:tcBorders>
              <w:top w:val="nil"/>
              <w:left w:val="nil"/>
              <w:bottom w:val="nil"/>
              <w:right w:val="nil"/>
            </w:tcBorders>
            <w:shd w:val="clear" w:color="auto" w:fill="auto"/>
            <w:tcMar>
              <w:top w:w="0" w:type="dxa"/>
              <w:left w:w="0" w:type="dxa"/>
              <w:bottom w:w="170" w:type="dxa"/>
              <w:right w:w="0" w:type="dxa"/>
            </w:tcMar>
          </w:tcPr>
          <w:p w14:paraId="3FA42E53" w14:textId="77777777" w:rsidR="00A61011" w:rsidRPr="00B26994" w:rsidRDefault="00A61011" w:rsidP="00A61011">
            <w:pPr>
              <w:pStyle w:val="Abkuerzung"/>
            </w:pPr>
            <w:r w:rsidRPr="00B26994">
              <w:t>Zeitschrift des Bernischen Juristenvereins (Bern)</w:t>
            </w:r>
          </w:p>
        </w:tc>
      </w:tr>
      <w:tr w:rsidR="00A61011" w:rsidRPr="005C616F" w14:paraId="4232B3A3"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32C35435" w14:textId="77777777" w:rsidR="00A61011" w:rsidRPr="00B26994" w:rsidRDefault="00A61011" w:rsidP="00A61011">
            <w:pPr>
              <w:pStyle w:val="Abkuerzung"/>
            </w:pPr>
            <w:r w:rsidRPr="00B26994">
              <w:t>ZBl</w:t>
            </w:r>
          </w:p>
        </w:tc>
        <w:tc>
          <w:tcPr>
            <w:tcW w:w="6237" w:type="dxa"/>
            <w:tcBorders>
              <w:top w:val="nil"/>
              <w:left w:val="nil"/>
              <w:bottom w:val="nil"/>
              <w:right w:val="nil"/>
            </w:tcBorders>
            <w:shd w:val="clear" w:color="auto" w:fill="auto"/>
            <w:tcMar>
              <w:top w:w="0" w:type="dxa"/>
              <w:left w:w="0" w:type="dxa"/>
              <w:bottom w:w="170" w:type="dxa"/>
              <w:right w:w="0" w:type="dxa"/>
            </w:tcMar>
          </w:tcPr>
          <w:p w14:paraId="0A824235" w14:textId="77777777" w:rsidR="00A61011" w:rsidRPr="00B26994" w:rsidRDefault="00A61011" w:rsidP="00A61011">
            <w:pPr>
              <w:pStyle w:val="Abkuerzung"/>
            </w:pPr>
            <w:r w:rsidRPr="00B26994">
              <w:t>Schweizerisches Zentralblatt für Staats- und Verwaltungsrecht (Zürich; früher: Schweizerisches Zentralblatt für Staats- und Gemeindeverwaltung)</w:t>
            </w:r>
          </w:p>
        </w:tc>
      </w:tr>
      <w:tr w:rsidR="00A61011" w:rsidRPr="005C616F" w14:paraId="73E899EF"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08FA6D3D" w14:textId="77777777" w:rsidR="00A61011" w:rsidRPr="00B26994" w:rsidRDefault="00A61011" w:rsidP="00A61011">
            <w:pPr>
              <w:pStyle w:val="Abkuerzung"/>
            </w:pPr>
            <w:r w:rsidRPr="00B26994">
              <w:t>ZEuP</w:t>
            </w:r>
          </w:p>
        </w:tc>
        <w:tc>
          <w:tcPr>
            <w:tcW w:w="6237" w:type="dxa"/>
            <w:tcBorders>
              <w:top w:val="nil"/>
              <w:left w:val="nil"/>
              <w:bottom w:val="nil"/>
              <w:right w:val="nil"/>
            </w:tcBorders>
            <w:shd w:val="clear" w:color="auto" w:fill="auto"/>
            <w:tcMar>
              <w:top w:w="0" w:type="dxa"/>
              <w:left w:w="0" w:type="dxa"/>
              <w:bottom w:w="170" w:type="dxa"/>
              <w:right w:w="0" w:type="dxa"/>
            </w:tcMar>
          </w:tcPr>
          <w:p w14:paraId="0A3D7CC7" w14:textId="77777777" w:rsidR="00A61011" w:rsidRPr="00B26994" w:rsidRDefault="00A61011" w:rsidP="00A61011">
            <w:pPr>
              <w:pStyle w:val="Abkuerzung"/>
            </w:pPr>
            <w:r w:rsidRPr="00B26994">
              <w:t>Zeitschrift für europäisches Privatrecht (München)</w:t>
            </w:r>
          </w:p>
        </w:tc>
      </w:tr>
      <w:tr w:rsidR="00A61011" w:rsidRPr="005C616F" w14:paraId="19C8FCB1"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27BBB0A5" w14:textId="77777777" w:rsidR="00A61011" w:rsidRPr="00B26994" w:rsidRDefault="00A61011" w:rsidP="00A61011">
            <w:pPr>
              <w:pStyle w:val="Abkuerzung"/>
            </w:pPr>
            <w:r w:rsidRPr="00B26994">
              <w:t>ZGB</w:t>
            </w:r>
          </w:p>
        </w:tc>
        <w:tc>
          <w:tcPr>
            <w:tcW w:w="6237" w:type="dxa"/>
            <w:tcBorders>
              <w:top w:val="nil"/>
              <w:left w:val="nil"/>
              <w:bottom w:val="nil"/>
              <w:right w:val="nil"/>
            </w:tcBorders>
            <w:shd w:val="clear" w:color="auto" w:fill="auto"/>
            <w:tcMar>
              <w:top w:w="0" w:type="dxa"/>
              <w:left w:w="0" w:type="dxa"/>
              <w:bottom w:w="170" w:type="dxa"/>
              <w:right w:w="0" w:type="dxa"/>
            </w:tcMar>
          </w:tcPr>
          <w:p w14:paraId="66746163" w14:textId="77777777" w:rsidR="00A61011" w:rsidRPr="00B26994" w:rsidRDefault="00A61011" w:rsidP="00A61011">
            <w:pPr>
              <w:pStyle w:val="Abkuerzung"/>
            </w:pPr>
            <w:r w:rsidRPr="00B26994">
              <w:t>Schweizerisches Zivilgesetzbuch vom 10. Dezember 1907 (SR 210)</w:t>
            </w:r>
          </w:p>
        </w:tc>
      </w:tr>
      <w:tr w:rsidR="00A61011" w:rsidRPr="005C616F" w14:paraId="6117369C"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4E92D117" w14:textId="77777777" w:rsidR="00A61011" w:rsidRPr="00B26994" w:rsidRDefault="00A61011" w:rsidP="00A61011">
            <w:pPr>
              <w:pStyle w:val="Abkuerzung"/>
            </w:pPr>
            <w:r w:rsidRPr="00B26994">
              <w:t>ZGRG</w:t>
            </w:r>
          </w:p>
        </w:tc>
        <w:tc>
          <w:tcPr>
            <w:tcW w:w="6237" w:type="dxa"/>
            <w:tcBorders>
              <w:top w:val="nil"/>
              <w:left w:val="nil"/>
              <w:bottom w:val="nil"/>
              <w:right w:val="nil"/>
            </w:tcBorders>
            <w:shd w:val="clear" w:color="auto" w:fill="auto"/>
            <w:tcMar>
              <w:top w:w="0" w:type="dxa"/>
              <w:left w:w="0" w:type="dxa"/>
              <w:bottom w:w="170" w:type="dxa"/>
              <w:right w:w="0" w:type="dxa"/>
            </w:tcMar>
          </w:tcPr>
          <w:p w14:paraId="716C416F" w14:textId="77777777" w:rsidR="00A61011" w:rsidRPr="00B26994" w:rsidRDefault="00A61011" w:rsidP="00A61011">
            <w:pPr>
              <w:pStyle w:val="Abkuerzung"/>
            </w:pPr>
            <w:r w:rsidRPr="00B26994">
              <w:t>Zeitschrift für Gesetzgebung und Rechtsprechung in Graubünden (Chur)</w:t>
            </w:r>
          </w:p>
        </w:tc>
      </w:tr>
      <w:tr w:rsidR="00A61011" w:rsidRPr="005C616F" w14:paraId="6AECD632"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067A6002" w14:textId="77777777" w:rsidR="00A61011" w:rsidRPr="00B26994" w:rsidRDefault="00A61011" w:rsidP="00A61011">
            <w:pPr>
              <w:pStyle w:val="Abkuerzung"/>
            </w:pPr>
            <w:r w:rsidRPr="00B26994">
              <w:t>zit.</w:t>
            </w:r>
          </w:p>
        </w:tc>
        <w:tc>
          <w:tcPr>
            <w:tcW w:w="6237" w:type="dxa"/>
            <w:tcBorders>
              <w:top w:val="nil"/>
              <w:left w:val="nil"/>
              <w:bottom w:val="nil"/>
              <w:right w:val="nil"/>
            </w:tcBorders>
            <w:shd w:val="clear" w:color="auto" w:fill="auto"/>
            <w:tcMar>
              <w:top w:w="0" w:type="dxa"/>
              <w:left w:w="0" w:type="dxa"/>
              <w:bottom w:w="170" w:type="dxa"/>
              <w:right w:w="0" w:type="dxa"/>
            </w:tcMar>
          </w:tcPr>
          <w:p w14:paraId="1FC1DA9F" w14:textId="77777777" w:rsidR="00A61011" w:rsidRPr="00B26994" w:rsidRDefault="00A61011" w:rsidP="00A61011">
            <w:pPr>
              <w:pStyle w:val="Abkuerzung"/>
            </w:pPr>
            <w:r w:rsidRPr="00B26994">
              <w:t>zitiert</w:t>
            </w:r>
          </w:p>
        </w:tc>
      </w:tr>
      <w:tr w:rsidR="00A61011" w:rsidRPr="005C616F" w14:paraId="2186E7F8"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1AE228DA" w14:textId="77777777" w:rsidR="00A61011" w:rsidRPr="00B26994" w:rsidRDefault="00A61011" w:rsidP="00A61011">
            <w:pPr>
              <w:pStyle w:val="Abkuerzung"/>
            </w:pPr>
            <w:r w:rsidRPr="00B26994">
              <w:t>ZivGer</w:t>
            </w:r>
          </w:p>
        </w:tc>
        <w:tc>
          <w:tcPr>
            <w:tcW w:w="6237" w:type="dxa"/>
            <w:tcBorders>
              <w:top w:val="nil"/>
              <w:left w:val="nil"/>
              <w:bottom w:val="nil"/>
              <w:right w:val="nil"/>
            </w:tcBorders>
            <w:shd w:val="clear" w:color="auto" w:fill="auto"/>
            <w:tcMar>
              <w:top w:w="0" w:type="dxa"/>
              <w:left w:w="0" w:type="dxa"/>
              <w:bottom w:w="170" w:type="dxa"/>
              <w:right w:w="0" w:type="dxa"/>
            </w:tcMar>
          </w:tcPr>
          <w:p w14:paraId="7145E59F" w14:textId="77777777" w:rsidR="00A61011" w:rsidRPr="00B26994" w:rsidRDefault="00A61011" w:rsidP="00A61011">
            <w:pPr>
              <w:pStyle w:val="Abkuerzung"/>
            </w:pPr>
            <w:r w:rsidRPr="00B26994">
              <w:t>Zivilgericht</w:t>
            </w:r>
          </w:p>
        </w:tc>
      </w:tr>
      <w:tr w:rsidR="00A61011" w:rsidRPr="005C616F" w14:paraId="28E90DF5"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4F7DDB73" w14:textId="77777777" w:rsidR="00A61011" w:rsidRPr="00B26994" w:rsidRDefault="00A61011" w:rsidP="00A61011">
            <w:pPr>
              <w:pStyle w:val="Abkuerzung"/>
            </w:pPr>
            <w:r w:rsidRPr="00B26994">
              <w:t>ZPO</w:t>
            </w:r>
          </w:p>
        </w:tc>
        <w:tc>
          <w:tcPr>
            <w:tcW w:w="6237" w:type="dxa"/>
            <w:tcBorders>
              <w:top w:val="nil"/>
              <w:left w:val="nil"/>
              <w:bottom w:val="nil"/>
              <w:right w:val="nil"/>
            </w:tcBorders>
            <w:shd w:val="clear" w:color="auto" w:fill="auto"/>
            <w:tcMar>
              <w:top w:w="0" w:type="dxa"/>
              <w:left w:w="0" w:type="dxa"/>
              <w:bottom w:w="170" w:type="dxa"/>
              <w:right w:w="0" w:type="dxa"/>
            </w:tcMar>
          </w:tcPr>
          <w:p w14:paraId="2A58BA1F" w14:textId="77777777" w:rsidR="00A61011" w:rsidRPr="00B26994" w:rsidRDefault="00A61011" w:rsidP="00A61011">
            <w:pPr>
              <w:pStyle w:val="Abkuerzung"/>
            </w:pPr>
            <w:r>
              <w:t>Schweizerische Zivilprozessordnung (</w:t>
            </w:r>
            <w:r w:rsidRPr="00B26994">
              <w:t>Zivilprozessordnung</w:t>
            </w:r>
            <w:r>
              <w:t xml:space="preserve">) vom </w:t>
            </w:r>
            <w:r>
              <w:br/>
              <w:t>19. Dezember 2008</w:t>
            </w:r>
            <w:r w:rsidRPr="00B26994">
              <w:t xml:space="preserve"> (SR </w:t>
            </w:r>
            <w:r>
              <w:t>272</w:t>
            </w:r>
            <w:r w:rsidRPr="00B26994">
              <w:t>)</w:t>
            </w:r>
          </w:p>
        </w:tc>
      </w:tr>
      <w:tr w:rsidR="00A61011" w:rsidRPr="005C616F" w14:paraId="7DFFB897"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0FC9298D" w14:textId="77777777" w:rsidR="00A61011" w:rsidRPr="00B26994" w:rsidRDefault="00A61011" w:rsidP="00A61011">
            <w:pPr>
              <w:pStyle w:val="Abkuerzung"/>
            </w:pPr>
            <w:r w:rsidRPr="00B26994">
              <w:t>ZR</w:t>
            </w:r>
          </w:p>
        </w:tc>
        <w:tc>
          <w:tcPr>
            <w:tcW w:w="6237" w:type="dxa"/>
            <w:tcBorders>
              <w:top w:val="nil"/>
              <w:left w:val="nil"/>
              <w:bottom w:val="nil"/>
              <w:right w:val="nil"/>
            </w:tcBorders>
            <w:shd w:val="clear" w:color="auto" w:fill="auto"/>
            <w:tcMar>
              <w:top w:w="0" w:type="dxa"/>
              <w:left w:w="0" w:type="dxa"/>
              <w:bottom w:w="170" w:type="dxa"/>
              <w:right w:w="0" w:type="dxa"/>
            </w:tcMar>
          </w:tcPr>
          <w:p w14:paraId="334BCCE2" w14:textId="77777777" w:rsidR="00A61011" w:rsidRPr="00B26994" w:rsidRDefault="00A61011" w:rsidP="00A61011">
            <w:pPr>
              <w:pStyle w:val="Abkuerzung"/>
            </w:pPr>
            <w:r w:rsidRPr="00B26994">
              <w:t>Blätter für Zürcherische Rechtsprechung (Zürich)</w:t>
            </w:r>
          </w:p>
        </w:tc>
      </w:tr>
      <w:tr w:rsidR="00A61011" w:rsidRPr="005C616F" w14:paraId="71982D2A"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5659656D" w14:textId="77777777" w:rsidR="00A61011" w:rsidRPr="00B26994" w:rsidRDefault="00A61011" w:rsidP="00A61011">
            <w:pPr>
              <w:pStyle w:val="Abkuerzung"/>
            </w:pPr>
            <w:r w:rsidRPr="00B26994">
              <w:t>zsis</w:t>
            </w:r>
          </w:p>
        </w:tc>
        <w:tc>
          <w:tcPr>
            <w:tcW w:w="6237" w:type="dxa"/>
            <w:tcBorders>
              <w:top w:val="nil"/>
              <w:left w:val="nil"/>
              <w:bottom w:val="nil"/>
              <w:right w:val="nil"/>
            </w:tcBorders>
            <w:shd w:val="clear" w:color="auto" w:fill="auto"/>
            <w:tcMar>
              <w:top w:w="0" w:type="dxa"/>
              <w:left w:w="0" w:type="dxa"/>
              <w:bottom w:w="170" w:type="dxa"/>
              <w:right w:w="0" w:type="dxa"/>
            </w:tcMar>
          </w:tcPr>
          <w:p w14:paraId="3E94E814" w14:textId="77777777" w:rsidR="00A61011" w:rsidRPr="00B26994" w:rsidRDefault="00A61011" w:rsidP="00A61011">
            <w:pPr>
              <w:pStyle w:val="Abkuerzung"/>
            </w:pPr>
            <w:r w:rsidRPr="00B26994">
              <w:t xml:space="preserve">Zeitschrift für Schweizerisches und Internationales Steuerrecht </w:t>
            </w:r>
            <w:r>
              <w:br/>
            </w:r>
            <w:r w:rsidRPr="00B26994">
              <w:t>(Zürich)</w:t>
            </w:r>
          </w:p>
        </w:tc>
      </w:tr>
      <w:tr w:rsidR="00A61011" w:rsidRPr="005C616F" w14:paraId="084549B9"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7609A5A8" w14:textId="77777777" w:rsidR="00A61011" w:rsidRPr="00B26994" w:rsidRDefault="00A61011" w:rsidP="00A61011">
            <w:pPr>
              <w:pStyle w:val="Abkuerzung"/>
            </w:pPr>
            <w:r w:rsidRPr="00B26994">
              <w:t>ZSR</w:t>
            </w:r>
          </w:p>
        </w:tc>
        <w:tc>
          <w:tcPr>
            <w:tcW w:w="6237" w:type="dxa"/>
            <w:tcBorders>
              <w:top w:val="nil"/>
              <w:left w:val="nil"/>
              <w:bottom w:val="nil"/>
              <w:right w:val="nil"/>
            </w:tcBorders>
            <w:shd w:val="clear" w:color="auto" w:fill="auto"/>
            <w:tcMar>
              <w:top w:w="0" w:type="dxa"/>
              <w:left w:w="0" w:type="dxa"/>
              <w:bottom w:w="170" w:type="dxa"/>
              <w:right w:w="0" w:type="dxa"/>
            </w:tcMar>
          </w:tcPr>
          <w:p w14:paraId="6B25128B" w14:textId="77777777" w:rsidR="00A61011" w:rsidRPr="00B26994" w:rsidRDefault="00A61011" w:rsidP="00A61011">
            <w:pPr>
              <w:pStyle w:val="Abkuerzung"/>
            </w:pPr>
            <w:r w:rsidRPr="00B26994">
              <w:t xml:space="preserve">Zeitschrift für </w:t>
            </w:r>
            <w:proofErr w:type="gramStart"/>
            <w:r w:rsidRPr="00B26994">
              <w:t>Schweizerisches</w:t>
            </w:r>
            <w:proofErr w:type="gramEnd"/>
            <w:r w:rsidRPr="00B26994">
              <w:t xml:space="preserve"> Recht (Basel)</w:t>
            </w:r>
          </w:p>
        </w:tc>
      </w:tr>
      <w:tr w:rsidR="00A61011" w:rsidRPr="005C616F" w14:paraId="583DCF62"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055164B9" w14:textId="77777777" w:rsidR="00A61011" w:rsidRPr="00B26994" w:rsidRDefault="00A61011" w:rsidP="00A61011">
            <w:pPr>
              <w:pStyle w:val="Abkuerzung"/>
            </w:pPr>
            <w:r w:rsidRPr="00B26994">
              <w:t>ZWR</w:t>
            </w:r>
          </w:p>
        </w:tc>
        <w:tc>
          <w:tcPr>
            <w:tcW w:w="6237" w:type="dxa"/>
            <w:tcBorders>
              <w:top w:val="nil"/>
              <w:left w:val="nil"/>
              <w:bottom w:val="nil"/>
              <w:right w:val="nil"/>
            </w:tcBorders>
            <w:shd w:val="clear" w:color="auto" w:fill="auto"/>
            <w:tcMar>
              <w:top w:w="0" w:type="dxa"/>
              <w:left w:w="0" w:type="dxa"/>
              <w:bottom w:w="170" w:type="dxa"/>
              <w:right w:w="0" w:type="dxa"/>
            </w:tcMar>
          </w:tcPr>
          <w:p w14:paraId="1E91BE4A" w14:textId="77777777" w:rsidR="00A61011" w:rsidRPr="00B26994" w:rsidRDefault="00A61011" w:rsidP="00A61011">
            <w:pPr>
              <w:pStyle w:val="Abkuerzung"/>
            </w:pPr>
            <w:r w:rsidRPr="00B26994">
              <w:t>Zeitschrift für Walliser Rechtsprechung (Sion)</w:t>
            </w:r>
            <w:r>
              <w:t xml:space="preserve"> (= RVJ)</w:t>
            </w:r>
          </w:p>
        </w:tc>
      </w:tr>
      <w:tr w:rsidR="00DF4B0E" w:rsidRPr="005C616F" w14:paraId="49F20CA4" w14:textId="77777777" w:rsidTr="00A61011">
        <w:trPr>
          <w:trHeight w:val="60"/>
        </w:trPr>
        <w:tc>
          <w:tcPr>
            <w:tcW w:w="2268" w:type="dxa"/>
            <w:tcBorders>
              <w:top w:val="nil"/>
              <w:left w:val="nil"/>
              <w:bottom w:val="nil"/>
              <w:right w:val="nil"/>
            </w:tcBorders>
            <w:shd w:val="clear" w:color="auto" w:fill="auto"/>
            <w:tcMar>
              <w:top w:w="0" w:type="dxa"/>
              <w:left w:w="0" w:type="dxa"/>
              <w:bottom w:w="170" w:type="dxa"/>
              <w:right w:w="0" w:type="dxa"/>
            </w:tcMar>
          </w:tcPr>
          <w:p w14:paraId="5D5AFF8F" w14:textId="77777777" w:rsidR="00DF4B0E" w:rsidRPr="00B26994" w:rsidRDefault="00DF4B0E" w:rsidP="00A61011">
            <w:pPr>
              <w:pStyle w:val="Abkuerzung"/>
            </w:pPr>
          </w:p>
        </w:tc>
        <w:tc>
          <w:tcPr>
            <w:tcW w:w="6237" w:type="dxa"/>
            <w:tcBorders>
              <w:top w:val="nil"/>
              <w:left w:val="nil"/>
              <w:bottom w:val="nil"/>
              <w:right w:val="nil"/>
            </w:tcBorders>
            <w:shd w:val="clear" w:color="auto" w:fill="auto"/>
            <w:tcMar>
              <w:top w:w="0" w:type="dxa"/>
              <w:left w:w="0" w:type="dxa"/>
              <w:bottom w:w="170" w:type="dxa"/>
              <w:right w:w="0" w:type="dxa"/>
            </w:tcMar>
          </w:tcPr>
          <w:p w14:paraId="070AF1FC" w14:textId="77777777" w:rsidR="00DF4B0E" w:rsidRPr="00B26994" w:rsidRDefault="00DF4B0E" w:rsidP="00A61011">
            <w:pPr>
              <w:pStyle w:val="Abkuerzung"/>
            </w:pPr>
          </w:p>
        </w:tc>
      </w:tr>
    </w:tbl>
    <w:p w14:paraId="359F6DB3" w14:textId="77777777" w:rsidR="002B6EC9" w:rsidRPr="00D57D51" w:rsidRDefault="002B6EC9" w:rsidP="001738A0">
      <w:pPr>
        <w:pStyle w:val="berschrift1"/>
        <w:numPr>
          <w:ilvl w:val="0"/>
          <w:numId w:val="8"/>
        </w:numPr>
        <w:spacing w:line="288" w:lineRule="auto"/>
        <w:contextualSpacing/>
        <w:rPr>
          <w:rFonts w:ascii="Times New Roman" w:hAnsi="Times New Roman" w:cs="Times New Roman"/>
        </w:rPr>
      </w:pPr>
      <w:bookmarkStart w:id="9" w:name="_Toc335728936"/>
      <w:bookmarkStart w:id="10" w:name="_Toc97043961"/>
      <w:r w:rsidRPr="00D57D51">
        <w:rPr>
          <w:rFonts w:ascii="Times New Roman" w:hAnsi="Times New Roman" w:cs="Times New Roman"/>
        </w:rPr>
        <w:lastRenderedPageBreak/>
        <w:t>Einleitung</w:t>
      </w:r>
      <w:bookmarkEnd w:id="9"/>
      <w:bookmarkEnd w:id="10"/>
    </w:p>
    <w:p w14:paraId="40402A11" w14:textId="6E89CC9C" w:rsidR="002B6EC9" w:rsidRDefault="002B6EC9" w:rsidP="003F4F8E">
      <w:r w:rsidRPr="008D0EA2">
        <w:t>Für das Verfassen von Falllösungen, Seminar- und Masterarbeiten am Lehrstuhl Prof.</w:t>
      </w:r>
      <w:r w:rsidR="001E771A">
        <w:t> </w:t>
      </w:r>
      <w:r w:rsidRPr="008D0EA2">
        <w:t xml:space="preserve">Dr. Susan Emmenegger gilt das vorliegende Formalia-Kompendium als zwingende Vorgabe und geht insbesondere </w:t>
      </w:r>
      <w:r w:rsidR="00A20494">
        <w:t>den Richtlinien der</w:t>
      </w:r>
      <w:r w:rsidRPr="008D0EA2">
        <w:t xml:space="preserve"> rechtswissenschaftlichen</w:t>
      </w:r>
      <w:r w:rsidR="009A7344">
        <w:t xml:space="preserve"> Fakultät </w:t>
      </w:r>
      <w:r w:rsidR="00A20494">
        <w:t xml:space="preserve">über die </w:t>
      </w:r>
      <w:r w:rsidR="00A0092C">
        <w:t xml:space="preserve">Anforderungen </w:t>
      </w:r>
      <w:r w:rsidR="00A20494">
        <w:t>an Umfang und Form der Falllösungen (vom 16. August 2012, Stand</w:t>
      </w:r>
      <w:r w:rsidR="009A3AD8">
        <w:t xml:space="preserve"> 30. April 2020</w:t>
      </w:r>
      <w:r w:rsidR="00A20494">
        <w:t xml:space="preserve">) </w:t>
      </w:r>
      <w:r w:rsidRPr="008D0EA2">
        <w:t>im Falle von Abweichungen vor.</w:t>
      </w:r>
    </w:p>
    <w:p w14:paraId="2FE7C6F9" w14:textId="587A795C" w:rsidR="009A7344" w:rsidRDefault="009A7344" w:rsidP="009A7344">
      <w:pPr>
        <w:pStyle w:val="StandardE"/>
      </w:pPr>
      <w:r>
        <w:t>Bitte beachten Sie bei Ihren inhaltlichen Ausführungen die Absatzstruktur. Generell gilt: Ein Satz, eine Aussage; ein Absatz, ein Gedanke. Ein neuer Gedanke gehört in einen neuen Absatz. Dieser Absatz ist (wie hier) eingerückt, wenn er eng an den vorherigen Absatz anschliesst.</w:t>
      </w:r>
      <w:r w:rsidR="001D43EC">
        <w:rPr>
          <w:rStyle w:val="Funotenzeichen"/>
        </w:rPr>
        <w:footnoteReference w:id="4"/>
      </w:r>
      <w:r>
        <w:t xml:space="preserve"> Das ist die Regel.</w:t>
      </w:r>
    </w:p>
    <w:p w14:paraId="1F47497D" w14:textId="400FF98B" w:rsidR="009A7344" w:rsidRDefault="009A7344" w:rsidP="009A7344">
      <w:pPr>
        <w:pStyle w:val="StandardE"/>
      </w:pPr>
      <w:r>
        <w:t>Eine Ausnahme gilt, wenn Sie einen neuen Gedanken einführen, sozusagen einen wirklichen Gedankenschritt vollziehen. Das kommt vor, wenn Sie beispielsweise ein Fazit ziehen, ohne dieses unter einen separaten Titel zu stellen (siehe sogleich).</w:t>
      </w:r>
    </w:p>
    <w:p w14:paraId="46BF9DA7" w14:textId="50347462" w:rsidR="009A7344" w:rsidRPr="009A7344" w:rsidRDefault="009A7344" w:rsidP="009A7344">
      <w:r>
        <w:t>Als Ergebnis ist also festzuhalten, dass im Regelfall juristische Texte mit eingerückten Absätzen verfasst werden.</w:t>
      </w:r>
      <w:r w:rsidR="001D43EC">
        <w:rPr>
          <w:rStyle w:val="Funotenzeichen"/>
        </w:rPr>
        <w:footnoteReference w:id="5"/>
      </w:r>
    </w:p>
    <w:p w14:paraId="789AB74C" w14:textId="0BBD0774" w:rsidR="002B6EC9" w:rsidRDefault="00A20494" w:rsidP="009A7344">
      <w:r>
        <w:t xml:space="preserve">Im Übrigen wird darauf hingewiesen, dass die Form dieses Dokuments </w:t>
      </w:r>
      <w:r w:rsidR="002B6EC9" w:rsidRPr="008D0EA2">
        <w:t>so gewählt</w:t>
      </w:r>
      <w:r>
        <w:t xml:space="preserve"> ist</w:t>
      </w:r>
      <w:r w:rsidR="002B6EC9" w:rsidRPr="008D0EA2">
        <w:t xml:space="preserve">, dass Sie es bei Bedarf </w:t>
      </w:r>
      <w:r w:rsidR="002B6EC9" w:rsidRPr="008D0EA2">
        <w:rPr>
          <w:b/>
        </w:rPr>
        <w:t>als Vorlage für Ihre eigene Seminararbeit</w:t>
      </w:r>
      <w:r w:rsidR="002B6EC9" w:rsidRPr="008D0EA2">
        <w:t xml:space="preserve"> verwenden können. </w:t>
      </w:r>
    </w:p>
    <w:p w14:paraId="6DD39F57" w14:textId="6D65D304" w:rsidR="001D43EC" w:rsidRPr="008D0EA2" w:rsidRDefault="001D43EC" w:rsidP="0018138C">
      <w:r>
        <w:t>Sie können jeweils erkennen, welche Formatvorlage gewählt worden ist</w:t>
      </w:r>
      <w:r w:rsidR="0018138C">
        <w:t xml:space="preserve">. Sie sehen dies entweder in der oberen Leiste bei den Schnellvorlagen oder </w:t>
      </w:r>
      <w:r w:rsidR="00F240FD">
        <w:t>S</w:t>
      </w:r>
      <w:r w:rsidR="0018138C">
        <w:t>ie wählen die Formatvorlage an.</w:t>
      </w:r>
    </w:p>
    <w:p w14:paraId="6276D8BE" w14:textId="77777777" w:rsidR="002B6EC9" w:rsidRPr="00D57D51" w:rsidRDefault="002B6EC9" w:rsidP="00E330E3">
      <w:pPr>
        <w:pStyle w:val="berschrift1"/>
        <w:numPr>
          <w:ilvl w:val="0"/>
          <w:numId w:val="8"/>
        </w:numPr>
        <w:spacing w:line="288" w:lineRule="auto"/>
        <w:contextualSpacing/>
        <w:rPr>
          <w:rFonts w:ascii="Times New Roman" w:hAnsi="Times New Roman" w:cs="Times New Roman"/>
        </w:rPr>
      </w:pPr>
      <w:bookmarkStart w:id="11" w:name="_Toc97043962"/>
      <w:bookmarkEnd w:id="0"/>
      <w:bookmarkEnd w:id="1"/>
      <w:bookmarkEnd w:id="2"/>
      <w:bookmarkEnd w:id="3"/>
      <w:bookmarkEnd w:id="4"/>
      <w:bookmarkEnd w:id="5"/>
      <w:r w:rsidRPr="00D57D51">
        <w:rPr>
          <w:rFonts w:ascii="Times New Roman" w:hAnsi="Times New Roman" w:cs="Times New Roman"/>
        </w:rPr>
        <w:lastRenderedPageBreak/>
        <w:t>Gestaltung</w:t>
      </w:r>
      <w:bookmarkEnd w:id="11"/>
    </w:p>
    <w:p w14:paraId="0465CDDD" w14:textId="2D1D3827" w:rsidR="002B6EC9" w:rsidRDefault="002B6EC9" w:rsidP="00E330E3">
      <w:pPr>
        <w:pStyle w:val="berschrift2"/>
      </w:pPr>
      <w:bookmarkStart w:id="12" w:name="_Toc97043963"/>
      <w:r w:rsidRPr="00C26C5E">
        <w:t>1.</w:t>
      </w:r>
      <w:r w:rsidRPr="00C26C5E">
        <w:tab/>
        <w:t>Seitenlayout</w:t>
      </w:r>
      <w:bookmarkEnd w:id="12"/>
    </w:p>
    <w:p w14:paraId="50974CC9" w14:textId="7103F2F2" w:rsidR="002B6EC9" w:rsidRPr="00C26C5E" w:rsidRDefault="001D43EC" w:rsidP="00E330E3">
      <w:pPr>
        <w:pStyle w:val="Aufzhlung"/>
        <w:keepNext/>
      </w:pPr>
      <w:r>
        <w:t>–</w:t>
      </w:r>
      <w:r>
        <w:tab/>
      </w:r>
      <w:r w:rsidR="002B6EC9" w:rsidRPr="00C26C5E">
        <w:t>Schriftgrad im Text: 12 Punkte</w:t>
      </w:r>
      <w:r>
        <w:rPr>
          <w:rStyle w:val="Funotenzeichen"/>
        </w:rPr>
        <w:footnoteReference w:id="6"/>
      </w:r>
    </w:p>
    <w:p w14:paraId="57698905" w14:textId="23DC4F66" w:rsidR="002B6EC9" w:rsidRPr="00C26C5E" w:rsidRDefault="001D43EC" w:rsidP="00E330E3">
      <w:pPr>
        <w:pStyle w:val="Aufzhlung"/>
        <w:keepNext/>
      </w:pPr>
      <w:r>
        <w:t>–</w:t>
      </w:r>
      <w:r>
        <w:tab/>
      </w:r>
      <w:r w:rsidR="002B6EC9" w:rsidRPr="00C26C5E">
        <w:t>Schriftart: Times New Roman</w:t>
      </w:r>
      <w:r w:rsidR="002E13A9">
        <w:t xml:space="preserve"> </w:t>
      </w:r>
    </w:p>
    <w:p w14:paraId="06BA6208" w14:textId="209EDA2B" w:rsidR="002B6EC9" w:rsidRPr="00C26C5E" w:rsidRDefault="001D43EC" w:rsidP="00E330E3">
      <w:pPr>
        <w:pStyle w:val="Aufzhlung"/>
        <w:keepNext/>
      </w:pPr>
      <w:r>
        <w:t>–</w:t>
      </w:r>
      <w:r>
        <w:tab/>
      </w:r>
      <w:r w:rsidR="002B6EC9" w:rsidRPr="00C26C5E">
        <w:t>Zeilenabstand: mehrfach (Mass 1.2)</w:t>
      </w:r>
    </w:p>
    <w:p w14:paraId="374F7EE2" w14:textId="543F13F5" w:rsidR="002B6EC9" w:rsidRPr="00C26C5E" w:rsidRDefault="001D43EC" w:rsidP="00E330E3">
      <w:pPr>
        <w:pStyle w:val="Aufzhlung"/>
        <w:keepNext/>
      </w:pPr>
      <w:r>
        <w:t>–</w:t>
      </w:r>
      <w:r>
        <w:tab/>
      </w:r>
      <w:r w:rsidR="002B6EC9" w:rsidRPr="00C26C5E">
        <w:t>Rand: oben: 2</w:t>
      </w:r>
      <w:r w:rsidR="00EB396A" w:rsidRPr="00C26C5E">
        <w:t xml:space="preserve">.5 </w:t>
      </w:r>
      <w:r w:rsidR="002B6EC9" w:rsidRPr="00C26C5E">
        <w:t>cm / unten: 2.</w:t>
      </w:r>
      <w:r w:rsidR="00EB396A" w:rsidRPr="00C26C5E">
        <w:t>5</w:t>
      </w:r>
      <w:r w:rsidR="002B6EC9" w:rsidRPr="00C26C5E">
        <w:t xml:space="preserve"> cm / links: </w:t>
      </w:r>
      <w:r w:rsidR="00EB396A" w:rsidRPr="00C26C5E">
        <w:t>2</w:t>
      </w:r>
      <w:r w:rsidR="002B6EC9" w:rsidRPr="00C26C5E">
        <w:t xml:space="preserve">.5 cm / rechts: </w:t>
      </w:r>
      <w:r w:rsidR="00EB396A" w:rsidRPr="00C26C5E">
        <w:t>4</w:t>
      </w:r>
      <w:r w:rsidR="002B6EC9" w:rsidRPr="00C26C5E">
        <w:t xml:space="preserve"> cm </w:t>
      </w:r>
    </w:p>
    <w:p w14:paraId="7FC383DB" w14:textId="77777777" w:rsidR="002B6EC9" w:rsidRPr="00C26C5E" w:rsidRDefault="002B6EC9" w:rsidP="00F51BE4">
      <w:pPr>
        <w:pStyle w:val="berschrift2"/>
        <w:spacing w:line="288" w:lineRule="auto"/>
        <w:contextualSpacing/>
        <w:rPr>
          <w:rFonts w:ascii="Times New Roman" w:hAnsi="Times New Roman" w:cs="Times New Roman"/>
          <w:sz w:val="24"/>
          <w:szCs w:val="24"/>
        </w:rPr>
      </w:pPr>
      <w:bookmarkStart w:id="13" w:name="_Toc97043964"/>
      <w:r w:rsidRPr="00C26C5E">
        <w:rPr>
          <w:rFonts w:ascii="Times New Roman" w:hAnsi="Times New Roman" w:cs="Times New Roman"/>
          <w:sz w:val="24"/>
          <w:szCs w:val="24"/>
        </w:rPr>
        <w:t>2.</w:t>
      </w:r>
      <w:r w:rsidRPr="00C26C5E">
        <w:rPr>
          <w:rFonts w:ascii="Times New Roman" w:hAnsi="Times New Roman" w:cs="Times New Roman"/>
          <w:sz w:val="24"/>
          <w:szCs w:val="24"/>
        </w:rPr>
        <w:tab/>
        <w:t>Deckblatt</w:t>
      </w:r>
      <w:bookmarkEnd w:id="13"/>
    </w:p>
    <w:p w14:paraId="0AA66E02" w14:textId="38BD1B48" w:rsidR="002B6EC9" w:rsidRPr="00C26C5E" w:rsidRDefault="001D43EC" w:rsidP="00C616D7">
      <w:pPr>
        <w:pStyle w:val="Aufzhlung"/>
      </w:pPr>
      <w:r>
        <w:t>–</w:t>
      </w:r>
      <w:r>
        <w:tab/>
      </w:r>
      <w:r w:rsidR="002B6EC9" w:rsidRPr="00C26C5E">
        <w:t>Fach</w:t>
      </w:r>
    </w:p>
    <w:p w14:paraId="2DD70989" w14:textId="4483E560" w:rsidR="002B6EC9" w:rsidRPr="00C26C5E" w:rsidRDefault="001D43EC" w:rsidP="00C616D7">
      <w:pPr>
        <w:pStyle w:val="Aufzhlung"/>
      </w:pPr>
      <w:r>
        <w:t>–</w:t>
      </w:r>
      <w:r>
        <w:tab/>
      </w:r>
      <w:r w:rsidR="002B6EC9" w:rsidRPr="00C26C5E">
        <w:t>Titel der Arbeit</w:t>
      </w:r>
    </w:p>
    <w:p w14:paraId="2D959933" w14:textId="06FF06DC" w:rsidR="002B6EC9" w:rsidRPr="00C26C5E" w:rsidRDefault="001D43EC" w:rsidP="00C616D7">
      <w:pPr>
        <w:pStyle w:val="Aufzhlung"/>
      </w:pPr>
      <w:r>
        <w:t>–</w:t>
      </w:r>
      <w:r>
        <w:tab/>
      </w:r>
      <w:r w:rsidR="002B6EC9" w:rsidRPr="00C26C5E">
        <w:t>Name und Adresse</w:t>
      </w:r>
    </w:p>
    <w:p w14:paraId="5F22F77E" w14:textId="0459D1BA" w:rsidR="002B6EC9" w:rsidRPr="00C26C5E" w:rsidRDefault="001D43EC" w:rsidP="00C616D7">
      <w:pPr>
        <w:pStyle w:val="Aufzhlung"/>
      </w:pPr>
      <w:r>
        <w:t>–</w:t>
      </w:r>
      <w:r>
        <w:tab/>
      </w:r>
      <w:r w:rsidR="002B6EC9" w:rsidRPr="00C26C5E">
        <w:t>Matrikelnummer</w:t>
      </w:r>
    </w:p>
    <w:p w14:paraId="5B7D7EEE" w14:textId="3F63A961" w:rsidR="002B6EC9" w:rsidRDefault="001D43EC" w:rsidP="00C616D7">
      <w:pPr>
        <w:pStyle w:val="Aufzhlung"/>
      </w:pPr>
      <w:r>
        <w:t>–</w:t>
      </w:r>
      <w:r>
        <w:tab/>
      </w:r>
      <w:r w:rsidR="001E771A">
        <w:t>E-Mail-</w:t>
      </w:r>
      <w:r w:rsidR="002B6EC9" w:rsidRPr="00C26C5E">
        <w:t>Adresse</w:t>
      </w:r>
    </w:p>
    <w:p w14:paraId="787B4859" w14:textId="77777777" w:rsidR="002B6EC9" w:rsidRPr="00D57D51" w:rsidRDefault="002B6EC9" w:rsidP="001738A0">
      <w:pPr>
        <w:pStyle w:val="berschrift1"/>
        <w:numPr>
          <w:ilvl w:val="0"/>
          <w:numId w:val="8"/>
        </w:numPr>
        <w:spacing w:line="288" w:lineRule="auto"/>
        <w:contextualSpacing/>
        <w:rPr>
          <w:rFonts w:ascii="Times New Roman" w:hAnsi="Times New Roman" w:cs="Times New Roman"/>
        </w:rPr>
      </w:pPr>
      <w:bookmarkStart w:id="14" w:name="_Toc97043965"/>
      <w:r w:rsidRPr="00D57D51">
        <w:rPr>
          <w:rFonts w:ascii="Times New Roman" w:hAnsi="Times New Roman" w:cs="Times New Roman"/>
        </w:rPr>
        <w:t>Aufbau der Arbeit</w:t>
      </w:r>
      <w:bookmarkEnd w:id="14"/>
    </w:p>
    <w:p w14:paraId="31C8FB2D" w14:textId="7621981E" w:rsidR="002B6EC9" w:rsidRPr="00D57D51" w:rsidRDefault="002B6EC9" w:rsidP="005E54E6">
      <w:r w:rsidRPr="008D0EA2">
        <w:t xml:space="preserve">Die Falllösung/Seminar-/Masterarbeit besteht aus dem nicht nummerierten Deckblatt, dem </w:t>
      </w:r>
      <w:r w:rsidRPr="0018138C">
        <w:rPr>
          <w:u w:val="single"/>
        </w:rPr>
        <w:t>römisch</w:t>
      </w:r>
      <w:r w:rsidRPr="008D0EA2">
        <w:t xml:space="preserve"> nummerierten Inhalts- und Literaturverzeichnis sowie dem </w:t>
      </w:r>
      <w:r w:rsidRPr="0018138C">
        <w:rPr>
          <w:u w:val="single"/>
        </w:rPr>
        <w:t>arabisch</w:t>
      </w:r>
      <w:r w:rsidRPr="008D0EA2">
        <w:t xml:space="preserve"> numm</w:t>
      </w:r>
      <w:r w:rsidR="00F62042" w:rsidRPr="008D0EA2">
        <w:t>erierten Textteil samt Selbstän</w:t>
      </w:r>
      <w:r w:rsidRPr="008D0EA2">
        <w:t>digkeitserklärung gemäss Artikel 42 Absatz 2 RSL RW.</w:t>
      </w:r>
      <w:r w:rsidR="008C0B74" w:rsidRPr="008D0EA2">
        <w:rPr>
          <w:rFonts w:eastAsia="Times New Roman"/>
          <w:position w:val="6"/>
          <w:vertAlign w:val="superscript"/>
          <w:lang w:eastAsia="de-CH"/>
        </w:rPr>
        <w:footnoteReference w:id="7"/>
      </w:r>
      <w:r w:rsidRPr="008D0EA2">
        <w:rPr>
          <w:vertAlign w:val="superscript"/>
        </w:rPr>
        <w:t xml:space="preserve"> </w:t>
      </w:r>
    </w:p>
    <w:p w14:paraId="3EEF9A79" w14:textId="7F8A26A0" w:rsidR="00A20494" w:rsidRDefault="002B6EC9" w:rsidP="005E54E6">
      <w:r w:rsidRPr="008D0EA2">
        <w:t>Das Inhaltsverzeichnis entspricht in</w:t>
      </w:r>
      <w:r w:rsidR="00F62042" w:rsidRPr="008D0EA2">
        <w:t xml:space="preserve"> Gliederungspunkten, Überschrif</w:t>
      </w:r>
      <w:r w:rsidRPr="008D0EA2">
        <w:t>ten und Seitenzahlen genau dem Text. Zusätzlich sind die untergeordneten Gliederungsebenen einzurücken, um die Struktur deutlich hervorzuheben.</w:t>
      </w:r>
    </w:p>
    <w:p w14:paraId="6384BBB2" w14:textId="01D5ABCA" w:rsidR="005E54E6" w:rsidRPr="008D0EA2" w:rsidRDefault="002B6EC9" w:rsidP="00E330E3">
      <w:pPr>
        <w:keepNext/>
        <w:spacing w:after="200"/>
      </w:pPr>
      <w:r w:rsidRPr="008D0EA2">
        <w:lastRenderedPageBreak/>
        <w:t xml:space="preserve">Für die Falllösung/Seminar-/Masterarbeit ist die sog. </w:t>
      </w:r>
      <w:r w:rsidRPr="008D0EA2">
        <w:rPr>
          <w:b/>
        </w:rPr>
        <w:t>«deutsche» Gliederung</w:t>
      </w:r>
      <w:r w:rsidRPr="008D0EA2">
        <w:t xml:space="preserve"> zu wählen: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9"/>
        <w:gridCol w:w="4111"/>
      </w:tblGrid>
      <w:tr w:rsidR="00F62042" w:rsidRPr="008D0EA2" w14:paraId="222B8FEA" w14:textId="77777777" w:rsidTr="00F62042">
        <w:tc>
          <w:tcPr>
            <w:tcW w:w="4322" w:type="dxa"/>
            <w:shd w:val="clear" w:color="auto" w:fill="D9D9D9" w:themeFill="background1" w:themeFillShade="D9"/>
          </w:tcPr>
          <w:p w14:paraId="23E378B9" w14:textId="77777777" w:rsidR="00F62042" w:rsidRPr="008D0EA2" w:rsidRDefault="00F62042" w:rsidP="00E330E3">
            <w:pPr>
              <w:keepNext/>
              <w:spacing w:line="288" w:lineRule="auto"/>
              <w:contextualSpacing/>
              <w:rPr>
                <w:rFonts w:cs="Times New Roman"/>
                <w:szCs w:val="24"/>
              </w:rPr>
            </w:pPr>
            <w:r w:rsidRPr="008D0EA2">
              <w:rPr>
                <w:rFonts w:cs="Times New Roman"/>
                <w:szCs w:val="24"/>
              </w:rPr>
              <w:t>Deutsche Gliederung</w:t>
            </w:r>
          </w:p>
        </w:tc>
        <w:tc>
          <w:tcPr>
            <w:tcW w:w="4322" w:type="dxa"/>
            <w:shd w:val="clear" w:color="auto" w:fill="D9D9D9" w:themeFill="background1" w:themeFillShade="D9"/>
          </w:tcPr>
          <w:p w14:paraId="689B201B" w14:textId="77777777" w:rsidR="00F62042" w:rsidRPr="008D0EA2" w:rsidRDefault="00F62042" w:rsidP="00E330E3">
            <w:pPr>
              <w:keepNext/>
              <w:spacing w:line="288" w:lineRule="auto"/>
              <w:contextualSpacing/>
              <w:rPr>
                <w:rFonts w:cs="Times New Roman"/>
                <w:szCs w:val="24"/>
              </w:rPr>
            </w:pPr>
            <w:r w:rsidRPr="008D0EA2">
              <w:rPr>
                <w:rFonts w:cs="Times New Roman"/>
                <w:szCs w:val="24"/>
              </w:rPr>
              <w:t>Ergänzung</w:t>
            </w:r>
          </w:p>
        </w:tc>
      </w:tr>
      <w:tr w:rsidR="00F62042" w:rsidRPr="008D0EA2" w14:paraId="351973C6" w14:textId="77777777" w:rsidTr="00F62042">
        <w:tc>
          <w:tcPr>
            <w:tcW w:w="4322" w:type="dxa"/>
          </w:tcPr>
          <w:p w14:paraId="7C3CD141" w14:textId="77777777" w:rsidR="00F62042" w:rsidRPr="008D0EA2" w:rsidRDefault="00F62042" w:rsidP="00E330E3">
            <w:pPr>
              <w:keepNext/>
              <w:spacing w:line="288" w:lineRule="auto"/>
              <w:contextualSpacing/>
              <w:rPr>
                <w:rFonts w:cs="Times New Roman"/>
                <w:szCs w:val="24"/>
              </w:rPr>
            </w:pPr>
          </w:p>
        </w:tc>
        <w:tc>
          <w:tcPr>
            <w:tcW w:w="4322" w:type="dxa"/>
          </w:tcPr>
          <w:p w14:paraId="4434B53B" w14:textId="77777777" w:rsidR="00F62042" w:rsidRPr="008D0EA2" w:rsidRDefault="00F62042" w:rsidP="00E330E3">
            <w:pPr>
              <w:keepNext/>
              <w:spacing w:line="288" w:lineRule="auto"/>
              <w:contextualSpacing/>
              <w:rPr>
                <w:rFonts w:cs="Times New Roman"/>
                <w:szCs w:val="24"/>
              </w:rPr>
            </w:pPr>
            <w:r w:rsidRPr="008D0EA2">
              <w:rPr>
                <w:rFonts w:cs="Times New Roman"/>
                <w:szCs w:val="24"/>
              </w:rPr>
              <w:t>A. Erster Teil / Erstes Kapitel</w:t>
            </w:r>
          </w:p>
        </w:tc>
      </w:tr>
      <w:tr w:rsidR="00F62042" w:rsidRPr="008D0EA2" w14:paraId="7A9B6B05" w14:textId="77777777" w:rsidTr="00F62042">
        <w:tc>
          <w:tcPr>
            <w:tcW w:w="4322" w:type="dxa"/>
          </w:tcPr>
          <w:p w14:paraId="2C7B3684" w14:textId="77777777" w:rsidR="00F62042" w:rsidRPr="008D0EA2" w:rsidRDefault="00F62042" w:rsidP="00E330E3">
            <w:pPr>
              <w:keepNext/>
              <w:spacing w:line="288" w:lineRule="auto"/>
              <w:contextualSpacing/>
              <w:rPr>
                <w:rFonts w:cs="Times New Roman"/>
                <w:szCs w:val="24"/>
              </w:rPr>
            </w:pPr>
            <w:r w:rsidRPr="008D0EA2">
              <w:rPr>
                <w:rFonts w:cs="Times New Roman"/>
                <w:szCs w:val="24"/>
              </w:rPr>
              <w:t>I.</w:t>
            </w:r>
          </w:p>
        </w:tc>
        <w:tc>
          <w:tcPr>
            <w:tcW w:w="4322" w:type="dxa"/>
          </w:tcPr>
          <w:p w14:paraId="0DE739A7" w14:textId="77777777" w:rsidR="00F62042" w:rsidRPr="008D0EA2" w:rsidRDefault="00F62042" w:rsidP="00E330E3">
            <w:pPr>
              <w:keepNext/>
              <w:spacing w:line="288" w:lineRule="auto"/>
              <w:contextualSpacing/>
              <w:rPr>
                <w:rFonts w:cs="Times New Roman"/>
                <w:szCs w:val="24"/>
              </w:rPr>
            </w:pPr>
            <w:r w:rsidRPr="008D0EA2">
              <w:rPr>
                <w:rFonts w:cs="Times New Roman"/>
                <w:szCs w:val="24"/>
              </w:rPr>
              <w:t>I.</w:t>
            </w:r>
          </w:p>
        </w:tc>
      </w:tr>
      <w:tr w:rsidR="00F62042" w:rsidRPr="008D0EA2" w14:paraId="4C27F40A" w14:textId="77777777" w:rsidTr="00F62042">
        <w:tc>
          <w:tcPr>
            <w:tcW w:w="4322" w:type="dxa"/>
          </w:tcPr>
          <w:p w14:paraId="3765973A" w14:textId="77777777" w:rsidR="00F62042" w:rsidRPr="008D0EA2" w:rsidRDefault="00677E1E" w:rsidP="00E330E3">
            <w:pPr>
              <w:keepNext/>
              <w:spacing w:line="288" w:lineRule="auto"/>
              <w:contextualSpacing/>
              <w:rPr>
                <w:rFonts w:cs="Times New Roman"/>
                <w:szCs w:val="24"/>
              </w:rPr>
            </w:pPr>
            <w:r w:rsidRPr="008D0EA2">
              <w:rPr>
                <w:rFonts w:cs="Times New Roman"/>
                <w:szCs w:val="24"/>
              </w:rPr>
              <w:t xml:space="preserve">  </w:t>
            </w:r>
            <w:r w:rsidR="00F62042" w:rsidRPr="008D0EA2">
              <w:rPr>
                <w:rFonts w:cs="Times New Roman"/>
                <w:szCs w:val="24"/>
              </w:rPr>
              <w:t>1.</w:t>
            </w:r>
          </w:p>
        </w:tc>
        <w:tc>
          <w:tcPr>
            <w:tcW w:w="4322" w:type="dxa"/>
          </w:tcPr>
          <w:p w14:paraId="4F676203" w14:textId="77777777" w:rsidR="00F62042" w:rsidRPr="008D0EA2" w:rsidRDefault="00677E1E" w:rsidP="00E330E3">
            <w:pPr>
              <w:keepNext/>
              <w:spacing w:line="288" w:lineRule="auto"/>
              <w:contextualSpacing/>
              <w:rPr>
                <w:rFonts w:cs="Times New Roman"/>
                <w:szCs w:val="24"/>
              </w:rPr>
            </w:pPr>
            <w:r w:rsidRPr="008D0EA2">
              <w:rPr>
                <w:rFonts w:cs="Times New Roman"/>
                <w:szCs w:val="24"/>
              </w:rPr>
              <w:t xml:space="preserve">  </w:t>
            </w:r>
            <w:r w:rsidR="00F62042" w:rsidRPr="008D0EA2">
              <w:rPr>
                <w:rFonts w:cs="Times New Roman"/>
                <w:szCs w:val="24"/>
              </w:rPr>
              <w:t>1.</w:t>
            </w:r>
          </w:p>
        </w:tc>
      </w:tr>
      <w:tr w:rsidR="00F62042" w:rsidRPr="008D0EA2" w14:paraId="3EB381BC" w14:textId="77777777" w:rsidTr="00F62042">
        <w:tc>
          <w:tcPr>
            <w:tcW w:w="4322" w:type="dxa"/>
          </w:tcPr>
          <w:p w14:paraId="33CA1380" w14:textId="77777777" w:rsidR="00F62042" w:rsidRPr="008D0EA2" w:rsidRDefault="00677E1E" w:rsidP="00E330E3">
            <w:pPr>
              <w:keepNext/>
              <w:spacing w:line="288" w:lineRule="auto"/>
              <w:contextualSpacing/>
              <w:rPr>
                <w:rFonts w:cs="Times New Roman"/>
                <w:szCs w:val="24"/>
              </w:rPr>
            </w:pPr>
            <w:r w:rsidRPr="008D0EA2">
              <w:rPr>
                <w:rFonts w:cs="Times New Roman"/>
                <w:szCs w:val="24"/>
              </w:rPr>
              <w:t xml:space="preserve">   </w:t>
            </w:r>
            <w:r w:rsidR="00F62042" w:rsidRPr="008D0EA2">
              <w:rPr>
                <w:rFonts w:cs="Times New Roman"/>
                <w:szCs w:val="24"/>
              </w:rPr>
              <w:t>a)</w:t>
            </w:r>
          </w:p>
        </w:tc>
        <w:tc>
          <w:tcPr>
            <w:tcW w:w="4322" w:type="dxa"/>
          </w:tcPr>
          <w:p w14:paraId="6A5AF69B" w14:textId="77777777" w:rsidR="00F62042" w:rsidRPr="008D0EA2" w:rsidRDefault="00677E1E" w:rsidP="00E330E3">
            <w:pPr>
              <w:keepNext/>
              <w:spacing w:line="288" w:lineRule="auto"/>
              <w:contextualSpacing/>
              <w:rPr>
                <w:rFonts w:cs="Times New Roman"/>
                <w:szCs w:val="24"/>
              </w:rPr>
            </w:pPr>
            <w:r w:rsidRPr="008D0EA2">
              <w:rPr>
                <w:rFonts w:cs="Times New Roman"/>
                <w:szCs w:val="24"/>
              </w:rPr>
              <w:t xml:space="preserve">    </w:t>
            </w:r>
            <w:r w:rsidR="00F62042" w:rsidRPr="008D0EA2">
              <w:rPr>
                <w:rFonts w:cs="Times New Roman"/>
                <w:szCs w:val="24"/>
              </w:rPr>
              <w:t>a)</w:t>
            </w:r>
          </w:p>
        </w:tc>
      </w:tr>
      <w:tr w:rsidR="00F62042" w:rsidRPr="008D0EA2" w14:paraId="4C2F5084" w14:textId="77777777" w:rsidTr="00F62042">
        <w:tc>
          <w:tcPr>
            <w:tcW w:w="4322" w:type="dxa"/>
          </w:tcPr>
          <w:p w14:paraId="0784D295" w14:textId="77777777" w:rsidR="00F62042" w:rsidRPr="008D0EA2" w:rsidRDefault="00677E1E" w:rsidP="00E330E3">
            <w:pPr>
              <w:keepNext/>
              <w:spacing w:line="288" w:lineRule="auto"/>
              <w:contextualSpacing/>
              <w:rPr>
                <w:rFonts w:cs="Times New Roman"/>
                <w:szCs w:val="24"/>
              </w:rPr>
            </w:pPr>
            <w:r w:rsidRPr="008D0EA2">
              <w:rPr>
                <w:rFonts w:cs="Times New Roman"/>
                <w:szCs w:val="24"/>
              </w:rPr>
              <w:t xml:space="preserve">      </w:t>
            </w:r>
            <w:r w:rsidR="00F62042" w:rsidRPr="008D0EA2">
              <w:rPr>
                <w:rFonts w:cs="Times New Roman"/>
                <w:szCs w:val="24"/>
              </w:rPr>
              <w:t>aa)</w:t>
            </w:r>
          </w:p>
        </w:tc>
        <w:tc>
          <w:tcPr>
            <w:tcW w:w="4322" w:type="dxa"/>
          </w:tcPr>
          <w:p w14:paraId="0D8F43F9" w14:textId="77777777" w:rsidR="00F62042" w:rsidRPr="008D0EA2" w:rsidRDefault="00677E1E" w:rsidP="00E330E3">
            <w:pPr>
              <w:keepNext/>
              <w:spacing w:line="288" w:lineRule="auto"/>
              <w:contextualSpacing/>
              <w:rPr>
                <w:rFonts w:cs="Times New Roman"/>
                <w:szCs w:val="24"/>
              </w:rPr>
            </w:pPr>
            <w:r w:rsidRPr="008D0EA2">
              <w:rPr>
                <w:rFonts w:cs="Times New Roman"/>
                <w:szCs w:val="24"/>
              </w:rPr>
              <w:t xml:space="preserve">      </w:t>
            </w:r>
            <w:r w:rsidR="00F62042" w:rsidRPr="008D0EA2">
              <w:rPr>
                <w:rFonts w:cs="Times New Roman"/>
                <w:szCs w:val="24"/>
              </w:rPr>
              <w:t>aa)</w:t>
            </w:r>
          </w:p>
        </w:tc>
      </w:tr>
      <w:tr w:rsidR="00F62042" w:rsidRPr="008D0EA2" w14:paraId="2EB22E16" w14:textId="77777777" w:rsidTr="00F62042">
        <w:tc>
          <w:tcPr>
            <w:tcW w:w="4322" w:type="dxa"/>
          </w:tcPr>
          <w:p w14:paraId="4E30C679" w14:textId="77777777" w:rsidR="00F62042" w:rsidRPr="008D0EA2" w:rsidRDefault="00677E1E" w:rsidP="00E330E3">
            <w:pPr>
              <w:keepNext/>
              <w:spacing w:line="288" w:lineRule="auto"/>
              <w:contextualSpacing/>
              <w:rPr>
                <w:rFonts w:cs="Times New Roman"/>
                <w:szCs w:val="24"/>
              </w:rPr>
            </w:pPr>
            <w:r w:rsidRPr="008D0EA2">
              <w:rPr>
                <w:rFonts w:cs="Times New Roman"/>
                <w:szCs w:val="24"/>
              </w:rPr>
              <w:t xml:space="preserve">      </w:t>
            </w:r>
            <w:r w:rsidR="00F62042" w:rsidRPr="008D0EA2">
              <w:rPr>
                <w:rFonts w:cs="Times New Roman"/>
                <w:szCs w:val="24"/>
              </w:rPr>
              <w:t>bb)</w:t>
            </w:r>
          </w:p>
        </w:tc>
        <w:tc>
          <w:tcPr>
            <w:tcW w:w="4322" w:type="dxa"/>
          </w:tcPr>
          <w:p w14:paraId="403AE6B9" w14:textId="77777777" w:rsidR="00F62042" w:rsidRPr="008D0EA2" w:rsidRDefault="00677E1E" w:rsidP="00E330E3">
            <w:pPr>
              <w:keepNext/>
              <w:spacing w:line="288" w:lineRule="auto"/>
              <w:contextualSpacing/>
              <w:rPr>
                <w:rFonts w:cs="Times New Roman"/>
                <w:szCs w:val="24"/>
              </w:rPr>
            </w:pPr>
            <w:r w:rsidRPr="008D0EA2">
              <w:rPr>
                <w:rFonts w:cs="Times New Roman"/>
                <w:szCs w:val="24"/>
              </w:rPr>
              <w:t xml:space="preserve">      </w:t>
            </w:r>
            <w:r w:rsidR="00F62042" w:rsidRPr="008D0EA2">
              <w:rPr>
                <w:rFonts w:cs="Times New Roman"/>
                <w:szCs w:val="24"/>
              </w:rPr>
              <w:t>bb)</w:t>
            </w:r>
          </w:p>
        </w:tc>
      </w:tr>
      <w:tr w:rsidR="00F62042" w:rsidRPr="008D0EA2" w14:paraId="743BC41D" w14:textId="77777777" w:rsidTr="00F62042">
        <w:tc>
          <w:tcPr>
            <w:tcW w:w="4322" w:type="dxa"/>
          </w:tcPr>
          <w:p w14:paraId="049EC488" w14:textId="3A099835" w:rsidR="00F62042" w:rsidRPr="008D0EA2" w:rsidRDefault="00677E1E" w:rsidP="00E330E3">
            <w:pPr>
              <w:keepNext/>
              <w:spacing w:line="288" w:lineRule="auto"/>
              <w:contextualSpacing/>
              <w:rPr>
                <w:rFonts w:cs="Times New Roman"/>
                <w:szCs w:val="24"/>
              </w:rPr>
            </w:pPr>
            <w:r w:rsidRPr="008D0EA2">
              <w:rPr>
                <w:rFonts w:cs="Times New Roman"/>
                <w:szCs w:val="24"/>
              </w:rPr>
              <w:t xml:space="preserve">   </w:t>
            </w:r>
            <w:r w:rsidR="00F62042" w:rsidRPr="008D0EA2">
              <w:rPr>
                <w:rFonts w:cs="Times New Roman"/>
                <w:szCs w:val="24"/>
              </w:rPr>
              <w:t>b)</w:t>
            </w:r>
          </w:p>
        </w:tc>
        <w:tc>
          <w:tcPr>
            <w:tcW w:w="4322" w:type="dxa"/>
          </w:tcPr>
          <w:p w14:paraId="59E65445" w14:textId="77777777" w:rsidR="00F62042" w:rsidRPr="008D0EA2" w:rsidRDefault="00677E1E" w:rsidP="00E330E3">
            <w:pPr>
              <w:keepNext/>
              <w:spacing w:line="288" w:lineRule="auto"/>
              <w:contextualSpacing/>
              <w:rPr>
                <w:rFonts w:cs="Times New Roman"/>
                <w:szCs w:val="24"/>
              </w:rPr>
            </w:pPr>
            <w:r w:rsidRPr="008D0EA2">
              <w:rPr>
                <w:rFonts w:cs="Times New Roman"/>
                <w:szCs w:val="24"/>
              </w:rPr>
              <w:t xml:space="preserve">    </w:t>
            </w:r>
            <w:r w:rsidR="00F62042" w:rsidRPr="008D0EA2">
              <w:rPr>
                <w:rFonts w:cs="Times New Roman"/>
                <w:szCs w:val="24"/>
              </w:rPr>
              <w:t>b)</w:t>
            </w:r>
          </w:p>
        </w:tc>
      </w:tr>
      <w:tr w:rsidR="00F62042" w:rsidRPr="008D0EA2" w14:paraId="596B7D2A" w14:textId="77777777" w:rsidTr="00F62042">
        <w:tc>
          <w:tcPr>
            <w:tcW w:w="4322" w:type="dxa"/>
          </w:tcPr>
          <w:p w14:paraId="33DF7FB3" w14:textId="77777777" w:rsidR="00F62042" w:rsidRPr="008D0EA2" w:rsidRDefault="00677E1E" w:rsidP="00E330E3">
            <w:pPr>
              <w:keepNext/>
              <w:spacing w:line="288" w:lineRule="auto"/>
              <w:contextualSpacing/>
              <w:rPr>
                <w:rFonts w:cs="Times New Roman"/>
                <w:szCs w:val="24"/>
              </w:rPr>
            </w:pPr>
            <w:r w:rsidRPr="008D0EA2">
              <w:rPr>
                <w:rFonts w:cs="Times New Roman"/>
                <w:szCs w:val="24"/>
              </w:rPr>
              <w:t xml:space="preserve">  </w:t>
            </w:r>
            <w:r w:rsidR="00F62042" w:rsidRPr="008D0EA2">
              <w:rPr>
                <w:rFonts w:cs="Times New Roman"/>
                <w:szCs w:val="24"/>
              </w:rPr>
              <w:t>2.</w:t>
            </w:r>
          </w:p>
        </w:tc>
        <w:tc>
          <w:tcPr>
            <w:tcW w:w="4322" w:type="dxa"/>
          </w:tcPr>
          <w:p w14:paraId="2032D6E9" w14:textId="77777777" w:rsidR="00F62042" w:rsidRPr="008D0EA2" w:rsidRDefault="00677E1E" w:rsidP="00E330E3">
            <w:pPr>
              <w:keepNext/>
              <w:spacing w:line="288" w:lineRule="auto"/>
              <w:contextualSpacing/>
              <w:rPr>
                <w:rFonts w:cs="Times New Roman"/>
                <w:szCs w:val="24"/>
              </w:rPr>
            </w:pPr>
            <w:r w:rsidRPr="008D0EA2">
              <w:rPr>
                <w:rFonts w:cs="Times New Roman"/>
                <w:szCs w:val="24"/>
              </w:rPr>
              <w:t xml:space="preserve">  </w:t>
            </w:r>
            <w:r w:rsidR="00F62042" w:rsidRPr="008D0EA2">
              <w:rPr>
                <w:rFonts w:cs="Times New Roman"/>
                <w:szCs w:val="24"/>
              </w:rPr>
              <w:t>2.</w:t>
            </w:r>
          </w:p>
        </w:tc>
      </w:tr>
      <w:tr w:rsidR="00F62042" w:rsidRPr="008D0EA2" w14:paraId="054169A1" w14:textId="77777777" w:rsidTr="00F62042">
        <w:tc>
          <w:tcPr>
            <w:tcW w:w="4322" w:type="dxa"/>
          </w:tcPr>
          <w:p w14:paraId="0BAD89E8" w14:textId="77777777" w:rsidR="00F62042" w:rsidRPr="008D0EA2" w:rsidRDefault="00F62042" w:rsidP="00E330E3">
            <w:pPr>
              <w:keepNext/>
              <w:spacing w:line="288" w:lineRule="auto"/>
              <w:contextualSpacing/>
              <w:rPr>
                <w:rFonts w:cs="Times New Roman"/>
                <w:szCs w:val="24"/>
              </w:rPr>
            </w:pPr>
            <w:r w:rsidRPr="008D0EA2">
              <w:rPr>
                <w:rFonts w:cs="Times New Roman"/>
                <w:szCs w:val="24"/>
              </w:rPr>
              <w:t>II.</w:t>
            </w:r>
          </w:p>
        </w:tc>
        <w:tc>
          <w:tcPr>
            <w:tcW w:w="4322" w:type="dxa"/>
          </w:tcPr>
          <w:p w14:paraId="1B902E00" w14:textId="77777777" w:rsidR="00F62042" w:rsidRPr="008D0EA2" w:rsidRDefault="00F62042" w:rsidP="00E330E3">
            <w:pPr>
              <w:keepNext/>
              <w:spacing w:line="288" w:lineRule="auto"/>
              <w:contextualSpacing/>
              <w:rPr>
                <w:rFonts w:cs="Times New Roman"/>
                <w:szCs w:val="24"/>
              </w:rPr>
            </w:pPr>
            <w:r w:rsidRPr="008D0EA2">
              <w:rPr>
                <w:rFonts w:cs="Times New Roman"/>
                <w:szCs w:val="24"/>
              </w:rPr>
              <w:t>B. Zweiter Teil / Zweites Kapitel</w:t>
            </w:r>
          </w:p>
        </w:tc>
      </w:tr>
      <w:tr w:rsidR="00F62042" w:rsidRPr="008D0EA2" w14:paraId="39023B64" w14:textId="77777777" w:rsidTr="00F62042">
        <w:tc>
          <w:tcPr>
            <w:tcW w:w="4322" w:type="dxa"/>
          </w:tcPr>
          <w:p w14:paraId="397DFEBC" w14:textId="77777777" w:rsidR="00F62042" w:rsidRPr="008D0EA2" w:rsidRDefault="00F62042" w:rsidP="00E330E3">
            <w:pPr>
              <w:keepNext/>
              <w:spacing w:line="288" w:lineRule="auto"/>
              <w:contextualSpacing/>
              <w:rPr>
                <w:rFonts w:cs="Times New Roman"/>
                <w:szCs w:val="24"/>
              </w:rPr>
            </w:pPr>
          </w:p>
        </w:tc>
        <w:tc>
          <w:tcPr>
            <w:tcW w:w="4322" w:type="dxa"/>
          </w:tcPr>
          <w:p w14:paraId="31A24372" w14:textId="77777777" w:rsidR="00F62042" w:rsidRPr="008D0EA2" w:rsidRDefault="00F62042" w:rsidP="00E330E3">
            <w:pPr>
              <w:keepNext/>
              <w:spacing w:line="288" w:lineRule="auto"/>
              <w:contextualSpacing/>
              <w:rPr>
                <w:rFonts w:cs="Times New Roman"/>
                <w:szCs w:val="24"/>
              </w:rPr>
            </w:pPr>
            <w:r w:rsidRPr="008D0EA2">
              <w:rPr>
                <w:rFonts w:cs="Times New Roman"/>
                <w:szCs w:val="24"/>
              </w:rPr>
              <w:t>I.</w:t>
            </w:r>
          </w:p>
        </w:tc>
      </w:tr>
      <w:tr w:rsidR="00F62042" w:rsidRPr="008D0EA2" w14:paraId="4F74F578" w14:textId="77777777" w:rsidTr="00F62042">
        <w:tc>
          <w:tcPr>
            <w:tcW w:w="4322" w:type="dxa"/>
          </w:tcPr>
          <w:p w14:paraId="25AD300A" w14:textId="77777777" w:rsidR="00F62042" w:rsidRPr="008D0EA2" w:rsidRDefault="00F62042" w:rsidP="00E330E3">
            <w:pPr>
              <w:keepNext/>
              <w:spacing w:line="288" w:lineRule="auto"/>
              <w:contextualSpacing/>
              <w:rPr>
                <w:rFonts w:cs="Times New Roman"/>
                <w:szCs w:val="24"/>
              </w:rPr>
            </w:pPr>
          </w:p>
        </w:tc>
        <w:tc>
          <w:tcPr>
            <w:tcW w:w="4322" w:type="dxa"/>
          </w:tcPr>
          <w:p w14:paraId="0018B8C4" w14:textId="77777777" w:rsidR="00F62042" w:rsidRPr="008D0EA2" w:rsidRDefault="00F62042" w:rsidP="00E330E3">
            <w:pPr>
              <w:keepNext/>
              <w:spacing w:line="288" w:lineRule="auto"/>
              <w:contextualSpacing/>
              <w:rPr>
                <w:rFonts w:cs="Times New Roman"/>
                <w:szCs w:val="24"/>
              </w:rPr>
            </w:pPr>
            <w:r w:rsidRPr="008D0EA2">
              <w:rPr>
                <w:rFonts w:cs="Times New Roman"/>
                <w:szCs w:val="24"/>
              </w:rPr>
              <w:t xml:space="preserve">II. </w:t>
            </w:r>
          </w:p>
        </w:tc>
      </w:tr>
    </w:tbl>
    <w:p w14:paraId="54F9D443" w14:textId="77777777" w:rsidR="00F62042" w:rsidRPr="008D0EA2" w:rsidRDefault="00F62042" w:rsidP="00F51BE4">
      <w:pPr>
        <w:spacing w:line="288" w:lineRule="auto"/>
        <w:contextualSpacing/>
        <w:rPr>
          <w:rFonts w:cs="Times New Roman"/>
          <w:szCs w:val="24"/>
        </w:rPr>
      </w:pPr>
    </w:p>
    <w:p w14:paraId="44DF2D01" w14:textId="4A6A30B5" w:rsidR="00A20494" w:rsidRDefault="002B6EC9" w:rsidP="00A20494">
      <w:pPr>
        <w:spacing w:line="288" w:lineRule="auto"/>
        <w:contextualSpacing/>
        <w:rPr>
          <w:rFonts w:cs="Times New Roman"/>
          <w:szCs w:val="24"/>
        </w:rPr>
      </w:pPr>
      <w:r w:rsidRPr="008D0EA2">
        <w:rPr>
          <w:rFonts w:cs="Times New Roman"/>
          <w:szCs w:val="24"/>
        </w:rPr>
        <w:t>Falls Bedarf nach einer zusätzlichen Gliederungsebene besteht, kann die Arbeit in Kapitel oder Teile gegliedert werden: A. Erstes Kapitel/Erster Teil, gefolgt von I., II. etc.; B. Zweites Kapitel/Zweiter Teil, gefolgt von I., II. etc.</w:t>
      </w:r>
    </w:p>
    <w:p w14:paraId="2D3006A9" w14:textId="40CE54B5" w:rsidR="00F51BE4" w:rsidRPr="008D0EA2" w:rsidRDefault="002B6EC9" w:rsidP="00A20494">
      <w:r w:rsidRPr="008D0EA2">
        <w:t>Bei der «deutschen» Gliederung gilt das</w:t>
      </w:r>
      <w:r w:rsidR="00F62042" w:rsidRPr="008D0EA2">
        <w:t xml:space="preserve"> Verbot, einzelstehende Gliede</w:t>
      </w:r>
      <w:r w:rsidRPr="008D0EA2">
        <w:t xml:space="preserve">rungspunkte einzuführen: Wer «a)» schreibt, muss später auch einen Punkt «b)» in der Arbeit haben. </w:t>
      </w:r>
    </w:p>
    <w:p w14:paraId="267C55FE" w14:textId="77777777" w:rsidR="002B6EC9" w:rsidRPr="008D0EA2" w:rsidRDefault="002B6EC9" w:rsidP="0018138C">
      <w:r w:rsidRPr="008D0EA2">
        <w:t>Nicht verboten, sondern im Gegenteil sinnvoll ist es, vor dem ersten Unterpunkt bereits einen kurzen Text einzufügen, der Informationen zur Abschnitts</w:t>
      </w:r>
      <w:r w:rsidR="00F62042" w:rsidRPr="008D0EA2">
        <w:t>ein</w:t>
      </w:r>
      <w:r w:rsidRPr="008D0EA2">
        <w:t>führung oder Orientierung enthält (sog. Roadmap), etwa wie im folgenden Abschnitt:</w:t>
      </w:r>
    </w:p>
    <w:p w14:paraId="0AFBA786" w14:textId="77777777" w:rsidR="002B6EC9" w:rsidRPr="00D57D51" w:rsidRDefault="002B6EC9" w:rsidP="001738A0">
      <w:pPr>
        <w:pStyle w:val="berschrift1"/>
        <w:numPr>
          <w:ilvl w:val="0"/>
          <w:numId w:val="8"/>
        </w:numPr>
        <w:spacing w:line="288" w:lineRule="auto"/>
        <w:contextualSpacing/>
        <w:rPr>
          <w:rFonts w:ascii="Times New Roman" w:hAnsi="Times New Roman" w:cs="Times New Roman"/>
        </w:rPr>
      </w:pPr>
      <w:bookmarkStart w:id="15" w:name="_Toc97043966"/>
      <w:r w:rsidRPr="00D57D51">
        <w:rPr>
          <w:rFonts w:ascii="Times New Roman" w:hAnsi="Times New Roman" w:cs="Times New Roman"/>
        </w:rPr>
        <w:t>Aufbau des Literaturverzeichnisses</w:t>
      </w:r>
      <w:bookmarkEnd w:id="15"/>
    </w:p>
    <w:p w14:paraId="735686A2" w14:textId="77777777" w:rsidR="002B6EC9" w:rsidRPr="008D0EA2" w:rsidRDefault="002B6EC9" w:rsidP="00F51BE4">
      <w:pPr>
        <w:spacing w:line="288" w:lineRule="auto"/>
        <w:contextualSpacing/>
        <w:rPr>
          <w:rFonts w:cs="Times New Roman"/>
          <w:szCs w:val="24"/>
        </w:rPr>
      </w:pPr>
      <w:r w:rsidRPr="008D0EA2">
        <w:rPr>
          <w:rFonts w:cs="Times New Roman"/>
          <w:szCs w:val="24"/>
        </w:rPr>
        <w:t>Der Arbeit ist ein Literaturverzeichnis voranzustellen. Bei zitierten Büchern mit mehreren Auflagen soll di</w:t>
      </w:r>
      <w:r w:rsidR="00F62042" w:rsidRPr="008D0EA2">
        <w:rPr>
          <w:rFonts w:cs="Times New Roman"/>
          <w:szCs w:val="24"/>
        </w:rPr>
        <w:t>e letzte verfügbare Auflage Ver</w:t>
      </w:r>
      <w:r w:rsidRPr="008D0EA2">
        <w:rPr>
          <w:rFonts w:cs="Times New Roman"/>
          <w:szCs w:val="24"/>
        </w:rPr>
        <w:t>wendung finden. Im Übrigen gibt es Regeln zu Form (1.), Inhalt (2.) und einzelnen Literaturgattungen (3.).</w:t>
      </w:r>
    </w:p>
    <w:p w14:paraId="5977F594" w14:textId="77777777" w:rsidR="002B6EC9" w:rsidRPr="00D57D51" w:rsidRDefault="002B6EC9" w:rsidP="00F51BE4">
      <w:pPr>
        <w:pStyle w:val="berschrift2"/>
        <w:spacing w:line="288" w:lineRule="auto"/>
        <w:contextualSpacing/>
        <w:rPr>
          <w:rFonts w:ascii="Times New Roman" w:hAnsi="Times New Roman" w:cs="Times New Roman"/>
        </w:rPr>
      </w:pPr>
      <w:bookmarkStart w:id="16" w:name="_Toc97043967"/>
      <w:r w:rsidRPr="00D57D51">
        <w:rPr>
          <w:rFonts w:ascii="Times New Roman" w:hAnsi="Times New Roman" w:cs="Times New Roman"/>
        </w:rPr>
        <w:t>1.</w:t>
      </w:r>
      <w:r w:rsidRPr="00D57D51">
        <w:rPr>
          <w:rFonts w:ascii="Times New Roman" w:hAnsi="Times New Roman" w:cs="Times New Roman"/>
        </w:rPr>
        <w:tab/>
        <w:t>Form</w:t>
      </w:r>
      <w:bookmarkEnd w:id="16"/>
    </w:p>
    <w:p w14:paraId="179DD4EE" w14:textId="77777777" w:rsidR="00A20494" w:rsidRDefault="002B6EC9" w:rsidP="00A20494">
      <w:pPr>
        <w:spacing w:after="120" w:line="288" w:lineRule="auto"/>
        <w:contextualSpacing/>
        <w:rPr>
          <w:rFonts w:cs="Times New Roman"/>
          <w:szCs w:val="24"/>
        </w:rPr>
      </w:pPr>
      <w:r w:rsidRPr="008D0EA2">
        <w:rPr>
          <w:rFonts w:cs="Times New Roman"/>
          <w:szCs w:val="24"/>
        </w:rPr>
        <w:t>Das Literaturverzeichnis wird alphabetisch nach den Autorenna</w:t>
      </w:r>
      <w:r w:rsidR="00F62042" w:rsidRPr="008D0EA2">
        <w:rPr>
          <w:rFonts w:cs="Times New Roman"/>
          <w:szCs w:val="24"/>
        </w:rPr>
        <w:t>men ge</w:t>
      </w:r>
      <w:r w:rsidRPr="008D0EA2">
        <w:rPr>
          <w:rFonts w:cs="Times New Roman"/>
          <w:szCs w:val="24"/>
        </w:rPr>
        <w:t xml:space="preserve">gliedert </w:t>
      </w:r>
      <w:r w:rsidR="00F62042" w:rsidRPr="008D0EA2">
        <w:rPr>
          <w:rFonts w:cs="Times New Roman"/>
          <w:szCs w:val="24"/>
        </w:rPr>
        <w:t>und enthält keine Unter</w:t>
      </w:r>
      <w:r w:rsidRPr="008D0EA2">
        <w:rPr>
          <w:rFonts w:cs="Times New Roman"/>
          <w:szCs w:val="24"/>
        </w:rPr>
        <w:t>teilun</w:t>
      </w:r>
      <w:r w:rsidR="00F62042" w:rsidRPr="008D0EA2">
        <w:rPr>
          <w:rFonts w:cs="Times New Roman"/>
          <w:szCs w:val="24"/>
        </w:rPr>
        <w:t>g in Themenbereiche oder Litera</w:t>
      </w:r>
      <w:r w:rsidRPr="008D0EA2">
        <w:rPr>
          <w:rFonts w:cs="Times New Roman"/>
          <w:szCs w:val="24"/>
        </w:rPr>
        <w:t>tur</w:t>
      </w:r>
      <w:r w:rsidR="00F62042" w:rsidRPr="008D0EA2">
        <w:rPr>
          <w:rFonts w:cs="Times New Roman"/>
          <w:szCs w:val="24"/>
        </w:rPr>
        <w:t>gat</w:t>
      </w:r>
      <w:r w:rsidRPr="008D0EA2">
        <w:rPr>
          <w:rFonts w:cs="Times New Roman"/>
          <w:szCs w:val="24"/>
        </w:rPr>
        <w:t xml:space="preserve">tungen. Weil das Werk </w:t>
      </w:r>
      <w:r w:rsidRPr="008D0EA2">
        <w:rPr>
          <w:rFonts w:cs="Times New Roman"/>
          <w:szCs w:val="24"/>
        </w:rPr>
        <w:lastRenderedPageBreak/>
        <w:t>im Literaturverzeichnis unabhängig von der einzel</w:t>
      </w:r>
      <w:r w:rsidR="00F62042" w:rsidRPr="008D0EA2">
        <w:rPr>
          <w:rFonts w:cs="Times New Roman"/>
          <w:szCs w:val="24"/>
        </w:rPr>
        <w:t>nen Ver</w:t>
      </w:r>
      <w:r w:rsidRPr="008D0EA2">
        <w:rPr>
          <w:rFonts w:cs="Times New Roman"/>
          <w:szCs w:val="24"/>
        </w:rPr>
        <w:t>wendung enthalten ist, steht es dort ohne die zitier</w:t>
      </w:r>
      <w:r w:rsidR="00F62042" w:rsidRPr="008D0EA2">
        <w:rPr>
          <w:rFonts w:cs="Times New Roman"/>
          <w:szCs w:val="24"/>
        </w:rPr>
        <w:t>ten Ein</w:t>
      </w:r>
      <w:r w:rsidRPr="008D0EA2">
        <w:rPr>
          <w:rFonts w:cs="Times New Roman"/>
          <w:szCs w:val="24"/>
        </w:rPr>
        <w:t>zelseiten:</w:t>
      </w:r>
      <w:r w:rsidR="00F51BE4" w:rsidRPr="008D0EA2">
        <w:rPr>
          <w:rFonts w:cs="Times New Roman"/>
          <w:szCs w:val="24"/>
        </w:rPr>
        <w:t xml:space="preserve"> </w:t>
      </w:r>
    </w:p>
    <w:p w14:paraId="1AFC73F4" w14:textId="77777777" w:rsidR="00100C16" w:rsidRDefault="00565A8A" w:rsidP="005E54E6">
      <w:pPr>
        <w:pStyle w:val="Eingerckt"/>
        <w:spacing w:after="480"/>
      </w:pPr>
      <w:r>
        <w:rPr>
          <w:smallCaps/>
        </w:rPr>
        <w:t xml:space="preserve">Schmid Jörg/Stöckli Hubert/Krauskopf Frédéric, </w:t>
      </w:r>
      <w:proofErr w:type="gramStart"/>
      <w:r>
        <w:t>Schweizerisches</w:t>
      </w:r>
      <w:proofErr w:type="gramEnd"/>
      <w:r>
        <w:t xml:space="preserve"> Obligationenrecht. Besonderer Teil, 3. Aufl., Zürich 2021</w:t>
      </w:r>
      <w:r w:rsidR="006E39DA">
        <w:t xml:space="preserve">. </w:t>
      </w:r>
    </w:p>
    <w:p w14:paraId="1C9A851E" w14:textId="55EA5CF1" w:rsidR="002B6EC9" w:rsidRPr="008D0EA2" w:rsidRDefault="002B6EC9" w:rsidP="00A20494">
      <w:r w:rsidRPr="008D0EA2">
        <w:t>Demgegenüber müssen bei jeder Verwendung im Textteil die genauen Seiten angegeben werden, auf die sich die Verfasserin der Arbeit bezieht. Enthält ein Werk eine fortlaufende Randnummerierung, sind (einzig) die Randnummern zu zitieren. In den Fussnoten sind diese Randnummern mit R</w:t>
      </w:r>
      <w:r w:rsidR="00677E1E" w:rsidRPr="008D0EA2">
        <w:t>n</w:t>
      </w:r>
      <w:r w:rsidRPr="008D0EA2">
        <w:t xml:space="preserve">. zu bezeichnen. Der Autorenname ist in </w:t>
      </w:r>
      <w:r w:rsidR="00DA4FA3" w:rsidRPr="008D0EA2">
        <w:rPr>
          <w:smallCaps/>
        </w:rPr>
        <w:t>Kapitälchen</w:t>
      </w:r>
      <w:r w:rsidRPr="008D0EA2">
        <w:t xml:space="preserve"> zu setzen.</w:t>
      </w:r>
    </w:p>
    <w:p w14:paraId="6EF19E0C" w14:textId="77777777" w:rsidR="002B6EC9" w:rsidRPr="00D57D51" w:rsidRDefault="002B6EC9" w:rsidP="00F51BE4">
      <w:pPr>
        <w:pStyle w:val="berschrift2"/>
        <w:spacing w:line="288" w:lineRule="auto"/>
        <w:contextualSpacing/>
        <w:rPr>
          <w:rFonts w:ascii="Times New Roman" w:hAnsi="Times New Roman" w:cs="Times New Roman"/>
        </w:rPr>
      </w:pPr>
      <w:bookmarkStart w:id="17" w:name="_Toc97043968"/>
      <w:r w:rsidRPr="00D57D51">
        <w:rPr>
          <w:rFonts w:ascii="Times New Roman" w:hAnsi="Times New Roman" w:cs="Times New Roman"/>
        </w:rPr>
        <w:t>2.</w:t>
      </w:r>
      <w:r w:rsidRPr="00D57D51">
        <w:rPr>
          <w:rFonts w:ascii="Times New Roman" w:hAnsi="Times New Roman" w:cs="Times New Roman"/>
        </w:rPr>
        <w:tab/>
        <w:t>Inhalt</w:t>
      </w:r>
      <w:bookmarkEnd w:id="17"/>
    </w:p>
    <w:p w14:paraId="46491D82" w14:textId="77777777" w:rsidR="002B6EC9" w:rsidRPr="008D0EA2" w:rsidRDefault="002B6EC9" w:rsidP="00A20494">
      <w:r w:rsidRPr="008D0EA2">
        <w:t>In das Literaturverzeichnis aufzu</w:t>
      </w:r>
      <w:r w:rsidR="00DD3277" w:rsidRPr="008D0EA2">
        <w:t xml:space="preserve">nehmen sind nur diejenigen </w:t>
      </w:r>
      <w:proofErr w:type="gramStart"/>
      <w:r w:rsidR="00DD3277" w:rsidRPr="008D0EA2">
        <w:t>Mono</w:t>
      </w:r>
      <w:r w:rsidRPr="008D0EA2">
        <w:t>graphien</w:t>
      </w:r>
      <w:proofErr w:type="gramEnd"/>
      <w:r w:rsidRPr="008D0EA2">
        <w:t>, Lehrbücher, Kommentare, Aufsätze, Artikel, Beiträge in Sammelwerken sowie Festschriften und sonstigen Texte, die in der Arbeit verwendet wurden. Diese aber müssen vollständig sein. Nicht in das Verzeichnis gehören Gesetzestexte, Gerichtsentscheidungen, vergleichbare amtliche Publikationen und – insoweit handelt es sich um eine reine Konvention – die Bibel. In Abweichung vom Merkblatt für die schriftlichen Falllösungen sind auch diejenigen Werke in das Literaturverzeichnis aufzunehmen, die in den Fussnoten nur einmal zitiert werden.</w:t>
      </w:r>
    </w:p>
    <w:p w14:paraId="7DFDD479" w14:textId="77777777" w:rsidR="002B6EC9" w:rsidRPr="00D57D51" w:rsidRDefault="002B6EC9" w:rsidP="00F51BE4">
      <w:pPr>
        <w:pStyle w:val="berschrift2"/>
        <w:spacing w:line="288" w:lineRule="auto"/>
        <w:contextualSpacing/>
        <w:rPr>
          <w:rFonts w:ascii="Times New Roman" w:hAnsi="Times New Roman" w:cs="Times New Roman"/>
        </w:rPr>
      </w:pPr>
      <w:bookmarkStart w:id="18" w:name="_Toc97043969"/>
      <w:r w:rsidRPr="00D57D51">
        <w:rPr>
          <w:rFonts w:ascii="Times New Roman" w:hAnsi="Times New Roman" w:cs="Times New Roman"/>
        </w:rPr>
        <w:t>3.</w:t>
      </w:r>
      <w:r w:rsidRPr="00D57D51">
        <w:rPr>
          <w:rFonts w:ascii="Times New Roman" w:hAnsi="Times New Roman" w:cs="Times New Roman"/>
        </w:rPr>
        <w:tab/>
        <w:t>Einzelfälle</w:t>
      </w:r>
      <w:bookmarkEnd w:id="18"/>
    </w:p>
    <w:p w14:paraId="0F94835F" w14:textId="52948A40" w:rsidR="002B6EC9" w:rsidRPr="008D0EA2" w:rsidRDefault="002B6EC9" w:rsidP="00A20494">
      <w:r w:rsidRPr="008D0EA2">
        <w:t>Die zitierten Werke müssen sich allein mit den im Literaturverzeichnis enthaltenen Angaben auffinden lassen. Aus dieser Grundregel folgen</w:t>
      </w:r>
      <w:r w:rsidR="00DA4FA3" w:rsidRPr="008D0EA2">
        <w:t xml:space="preserve"> die Einzelanforderungen für un</w:t>
      </w:r>
      <w:r w:rsidRPr="008D0EA2">
        <w:t>terschiedliche Literaturgattungen.</w:t>
      </w:r>
      <w:r w:rsidR="00A20494">
        <w:t xml:space="preserve"> </w:t>
      </w:r>
      <w:r w:rsidR="00DA4FA3" w:rsidRPr="008D0EA2">
        <w:t>Allein ver</w:t>
      </w:r>
      <w:r w:rsidRPr="008D0EA2">
        <w:t>bindlich sind die Angaben im Werk selbst und nicht Angaben in Online-Katalogen.</w:t>
      </w:r>
    </w:p>
    <w:p w14:paraId="4F807FB8" w14:textId="77777777" w:rsidR="002B6EC9" w:rsidRPr="008D0EA2" w:rsidRDefault="002B6EC9" w:rsidP="00F51BE4">
      <w:pPr>
        <w:pStyle w:val="berschrift3"/>
        <w:spacing w:line="288" w:lineRule="auto"/>
        <w:contextualSpacing/>
        <w:rPr>
          <w:rFonts w:ascii="Times New Roman" w:hAnsi="Times New Roman" w:cs="Times New Roman"/>
          <w:sz w:val="24"/>
          <w:szCs w:val="24"/>
        </w:rPr>
      </w:pPr>
      <w:bookmarkStart w:id="19" w:name="_Toc97043970"/>
      <w:r w:rsidRPr="008D0EA2">
        <w:rPr>
          <w:rFonts w:ascii="Times New Roman" w:hAnsi="Times New Roman" w:cs="Times New Roman"/>
          <w:sz w:val="24"/>
          <w:szCs w:val="24"/>
        </w:rPr>
        <w:t>a)</w:t>
      </w:r>
      <w:r w:rsidRPr="008D0EA2">
        <w:rPr>
          <w:rFonts w:ascii="Times New Roman" w:hAnsi="Times New Roman" w:cs="Times New Roman"/>
          <w:sz w:val="24"/>
          <w:szCs w:val="24"/>
        </w:rPr>
        <w:tab/>
        <w:t>Bücher</w:t>
      </w:r>
      <w:bookmarkEnd w:id="19"/>
    </w:p>
    <w:p w14:paraId="0FB09621" w14:textId="77777777" w:rsidR="002B6EC9" w:rsidRPr="008D0EA2" w:rsidRDefault="002B6EC9" w:rsidP="00A20494">
      <w:r w:rsidRPr="008D0EA2">
        <w:t>Zitierte Bücher sind mit Autor (Name, erster Vorname sowie die Initia</w:t>
      </w:r>
      <w:r w:rsidR="00307E5A" w:rsidRPr="008D0EA2">
        <w:t>len wei</w:t>
      </w:r>
      <w:r w:rsidRPr="008D0EA2">
        <w:t>terer Vornamen), vollständigem Ti</w:t>
      </w:r>
      <w:r w:rsidR="00307E5A" w:rsidRPr="008D0EA2">
        <w:t>tel (einschliesslich Untertitel), Erscheinungsort und -</w:t>
      </w:r>
      <w:r w:rsidRPr="008D0EA2">
        <w:t>jahr aufzuführen:</w:t>
      </w:r>
    </w:p>
    <w:p w14:paraId="27889CAF" w14:textId="3EB1BE95" w:rsidR="00A20494" w:rsidRPr="00A20494" w:rsidRDefault="00182D25" w:rsidP="005E54E6">
      <w:pPr>
        <w:pStyle w:val="Eingerckt"/>
        <w:spacing w:after="480"/>
      </w:pPr>
      <w:r w:rsidRPr="00493667">
        <w:rPr>
          <w:smallCaps/>
        </w:rPr>
        <w:t>Schwenzer Ingeborg</w:t>
      </w:r>
      <w:r w:rsidR="00B8254C" w:rsidRPr="00493667">
        <w:rPr>
          <w:smallCaps/>
        </w:rPr>
        <w:t>/Fountoulakis Christiana</w:t>
      </w:r>
      <w:r w:rsidRPr="00493667">
        <w:rPr>
          <w:smallCaps/>
        </w:rPr>
        <w:t xml:space="preserve">, </w:t>
      </w:r>
      <w:proofErr w:type="gramStart"/>
      <w:r w:rsidRPr="00493667">
        <w:t>Schweizerisches</w:t>
      </w:r>
      <w:proofErr w:type="gramEnd"/>
      <w:r w:rsidRPr="00493667">
        <w:t xml:space="preserve"> Obligationenrecht. Allgemeiner Teil, </w:t>
      </w:r>
      <w:r w:rsidR="00B8254C" w:rsidRPr="00493667">
        <w:t>8</w:t>
      </w:r>
      <w:r w:rsidRPr="00493667">
        <w:t>. Aufl., Bern 20</w:t>
      </w:r>
      <w:r w:rsidR="00B8254C" w:rsidRPr="00493667">
        <w:t>20</w:t>
      </w:r>
      <w:r w:rsidRPr="00493667">
        <w:t>.</w:t>
      </w:r>
    </w:p>
    <w:p w14:paraId="51C0B375" w14:textId="6852F1C0" w:rsidR="00DD3277" w:rsidRPr="008D0EA2" w:rsidRDefault="002B6EC9" w:rsidP="00A20494">
      <w:r w:rsidRPr="008D0EA2">
        <w:lastRenderedPageBreak/>
        <w:t>Mehrbändige Werke sind mit ge</w:t>
      </w:r>
      <w:r w:rsidR="00307E5A" w:rsidRPr="008D0EA2">
        <w:t>nau</w:t>
      </w:r>
      <w:r w:rsidRPr="008D0EA2">
        <w:t>er An</w:t>
      </w:r>
      <w:r w:rsidR="00307E5A" w:rsidRPr="008D0EA2">
        <w:t>gabe der zitierten Bände zu ver</w:t>
      </w:r>
      <w:r w:rsidRPr="008D0EA2">
        <w:t>zeichnen. Ab der zweiten Auflage ist diese zu nennen, wobei die werbenden Verlagszusätze («nachgeführt und ergänzt», «vollständig überarbeitet», «erheblich erweitert») nicht mit aufgenommen werden:</w:t>
      </w:r>
    </w:p>
    <w:p w14:paraId="77A1F7F8" w14:textId="03AABA28" w:rsidR="00DD3277" w:rsidRDefault="001249EC" w:rsidP="005E54E6">
      <w:pPr>
        <w:pStyle w:val="Eingerckt"/>
        <w:spacing w:after="480"/>
      </w:pPr>
      <w:r>
        <w:rPr>
          <w:smallCaps/>
        </w:rPr>
        <w:t xml:space="preserve">Gauch Peter/Schluep Walter R./Schmid Jörg/Emmenegger Susan, </w:t>
      </w:r>
      <w:proofErr w:type="gramStart"/>
      <w:r>
        <w:t>Schweizerisches</w:t>
      </w:r>
      <w:proofErr w:type="gramEnd"/>
      <w:r>
        <w:t xml:space="preserve"> Obligationenrecht. Allgemeiner Teil, zwei Bände, 11. Aufl., Zürich 2020</w:t>
      </w:r>
      <w:r w:rsidR="002B6EC9" w:rsidRPr="008D0EA2">
        <w:t>.</w:t>
      </w:r>
    </w:p>
    <w:p w14:paraId="1BB2CD9F" w14:textId="77777777" w:rsidR="002B6EC9" w:rsidRPr="008D0EA2" w:rsidRDefault="002B6EC9" w:rsidP="00A20494">
      <w:r w:rsidRPr="008D0EA2">
        <w:t>Werden Werke unter der Herausgeberbezeichnung in das</w:t>
      </w:r>
      <w:r w:rsidR="001E26A8" w:rsidRPr="008D0EA2">
        <w:t xml:space="preserve"> Literatur</w:t>
      </w:r>
      <w:r w:rsidRPr="008D0EA2">
        <w:t xml:space="preserve">verzeichnis eingeordnet, so steht die Herausgeberangabe am Zeilenanfang und wird dann ausnahmsweise </w:t>
      </w:r>
      <w:r w:rsidR="00A827A9" w:rsidRPr="008D0EA2">
        <w:t>in Kapitälchen</w:t>
      </w:r>
      <w:r w:rsidRPr="008D0EA2">
        <w:t xml:space="preserve"> gesetzt. Das gilt auch für institutionelle Herausgeber. Aufzunehmen sind zudem Werke, die ausschliesslich im Internet publiziert wurden:</w:t>
      </w:r>
    </w:p>
    <w:p w14:paraId="195FDBF8" w14:textId="4397A613" w:rsidR="002B6EC9" w:rsidRPr="008D0EA2" w:rsidRDefault="001950FC" w:rsidP="00A20494">
      <w:pPr>
        <w:pStyle w:val="Eingerckt"/>
      </w:pPr>
      <w:r w:rsidRPr="00F53A42">
        <w:rPr>
          <w:iCs/>
          <w:smallCaps/>
          <w:spacing w:val="-2"/>
        </w:rPr>
        <w:t>Gauch Peter/Stöckli Hubert</w:t>
      </w:r>
      <w:r w:rsidRPr="00F53A42">
        <w:rPr>
          <w:smallCaps/>
          <w:spacing w:val="-2"/>
        </w:rPr>
        <w:t xml:space="preserve"> (Hrsg</w:t>
      </w:r>
      <w:r>
        <w:rPr>
          <w:spacing w:val="-2"/>
        </w:rPr>
        <w:t>.), OR-Textausgabe, Schweizerisches Obligationenrecht. Textaus</w:t>
      </w:r>
      <w:r>
        <w:rPr>
          <w:spacing w:val="-2"/>
        </w:rPr>
        <w:softHyphen/>
        <w:t>gabe</w:t>
      </w:r>
      <w:r>
        <w:t xml:space="preserve"> mit Anhängen, Querverweisen, Sachregister und Anmerkungen, 52. Aufl., Zürich 2018.</w:t>
      </w:r>
    </w:p>
    <w:p w14:paraId="7BE58D57" w14:textId="0C200D0A" w:rsidR="00DD3277" w:rsidRDefault="002B6EC9" w:rsidP="005E54E6">
      <w:pPr>
        <w:pStyle w:val="Eingerckt"/>
        <w:spacing w:after="480"/>
      </w:pPr>
      <w:r w:rsidRPr="008D0EA2">
        <w:rPr>
          <w:smallCaps/>
        </w:rPr>
        <w:t>Bundesverwaltung</w:t>
      </w:r>
      <w:r w:rsidRPr="008D0EA2">
        <w:t xml:space="preserve"> (</w:t>
      </w:r>
      <w:r w:rsidRPr="008D0EA2">
        <w:rPr>
          <w:smallCaps/>
        </w:rPr>
        <w:t>Hrsg.</w:t>
      </w:r>
      <w:r w:rsidRPr="008D0EA2">
        <w:t>), Ergebnisse d</w:t>
      </w:r>
      <w:r w:rsidR="00307E5A" w:rsidRPr="008D0EA2">
        <w:t xml:space="preserve">er Volksabstimmung vom </w:t>
      </w:r>
      <w:r w:rsidR="00297EC4">
        <w:t>28.</w:t>
      </w:r>
      <w:r w:rsidR="00DB6606">
        <w:t xml:space="preserve"> November </w:t>
      </w:r>
      <w:r w:rsidR="00297EC4">
        <w:t>2021</w:t>
      </w:r>
      <w:r w:rsidR="005A679B">
        <w:t xml:space="preserve"> (</w:t>
      </w:r>
      <w:r w:rsidR="005A679B" w:rsidRPr="005A679B">
        <w:t>Volksinitiative «Bestimmung der Bundesrichterinnen und Bundesrichter im Losverfahren» (Justiz-Initiative)</w:t>
      </w:r>
      <w:r w:rsidR="005A679B">
        <w:t>)</w:t>
      </w:r>
      <w:r w:rsidR="00307E5A" w:rsidRPr="008D0EA2">
        <w:t xml:space="preserve"> </w:t>
      </w:r>
      <w:r w:rsidRPr="008D0EA2">
        <w:t>ab</w:t>
      </w:r>
      <w:r w:rsidR="00307E5A" w:rsidRPr="008D0EA2">
        <w:t xml:space="preserve">rufbar unter: </w:t>
      </w:r>
      <w:r w:rsidR="00DD3277" w:rsidRPr="008D0EA2">
        <w:t>&lt;</w:t>
      </w:r>
      <w:r w:rsidR="00F53A42" w:rsidRPr="00F53A42">
        <w:t>www.bk.admin.ch/ch/d/pore/va/20211128/can649.html</w:t>
      </w:r>
      <w:r w:rsidRPr="008D0EA2">
        <w:t>&gt;.</w:t>
      </w:r>
    </w:p>
    <w:p w14:paraId="45DE3ED7" w14:textId="06590194" w:rsidR="00DD3277" w:rsidRPr="003F4F8E" w:rsidRDefault="002B6EC9" w:rsidP="003F4F8E">
      <w:r w:rsidRPr="008D0EA2">
        <w:t>Sehr viele wissenschaftliche Bücher erscheinen als Teil einer Reihe, die einen Gesamtherausgeber, einen Reihentitel und eine Buchnummerierung enthält. Solche Verlagsdaten, die vorwiegend der Vermarktung dienen, werden nicht mit aufgenommen, weil sich das einzelne Werk auch ohne sie finden lässt. Eine Ausnahme bilden diejenigen Zuordnungen, mit denen ein Buch als Sonderheft oder Beilage einer Zeitschrift gekennzeichnet wird, weil dann (wie bei Zeitschriften) der Erscheinungsort entbehrlich wird:</w:t>
      </w:r>
    </w:p>
    <w:p w14:paraId="5D1B87EB" w14:textId="55CA28E4" w:rsidR="00DD3277" w:rsidRPr="00C74449" w:rsidRDefault="002B6EC9" w:rsidP="005E54E6">
      <w:pPr>
        <w:pStyle w:val="Eingerckt"/>
        <w:spacing w:after="480"/>
      </w:pPr>
      <w:r w:rsidRPr="00C74449">
        <w:rPr>
          <w:smallCaps/>
        </w:rPr>
        <w:t>Jørgensen Stig/Pöyhönen Juha/Varga Csaba</w:t>
      </w:r>
      <w:r w:rsidR="00D156D4" w:rsidRPr="00C74449">
        <w:t xml:space="preserve"> (</w:t>
      </w:r>
      <w:r w:rsidR="00D156D4" w:rsidRPr="00C74449">
        <w:rPr>
          <w:smallCaps/>
        </w:rPr>
        <w:t>Hrsg</w:t>
      </w:r>
      <w:r w:rsidR="00D156D4" w:rsidRPr="00C74449">
        <w:t>.), Tradi</w:t>
      </w:r>
      <w:r w:rsidRPr="00C74449">
        <w:t>tion and Progress in Modern Legal Culture, ARSP-Beiheft 23, 1985.</w:t>
      </w:r>
    </w:p>
    <w:p w14:paraId="48E820C8" w14:textId="4692288A" w:rsidR="00DD3277" w:rsidRPr="00A20494" w:rsidRDefault="002B6EC9" w:rsidP="00E330E3">
      <w:pPr>
        <w:keepNext/>
      </w:pPr>
      <w:r w:rsidRPr="008D0EA2">
        <w:lastRenderedPageBreak/>
        <w:t>Bis zu zwei Autor</w:t>
      </w:r>
      <w:r w:rsidR="00D156D4" w:rsidRPr="008D0EA2">
        <w:t>innen, Herausgeberinnen oder Er</w:t>
      </w:r>
      <w:r w:rsidRPr="008D0EA2">
        <w:t xml:space="preserve">scheinungsorte werden vollständig genannt. Ab der dritten Angabe kann man </w:t>
      </w:r>
      <w:r w:rsidR="006D76BC" w:rsidRPr="008D0EA2">
        <w:t>stattdessen</w:t>
      </w:r>
      <w:r w:rsidRPr="008D0EA2">
        <w:t xml:space="preserve"> mit der Erstgenannten sowie dem Kürzel «u.a.» (und andere) arbeiten:</w:t>
      </w:r>
    </w:p>
    <w:p w14:paraId="54E32AFA" w14:textId="478F83E7" w:rsidR="00DD3277" w:rsidRPr="00A20494" w:rsidRDefault="002B6EC9" w:rsidP="00E330E3">
      <w:pPr>
        <w:pStyle w:val="Eingerckt"/>
        <w:keepNext/>
        <w:spacing w:after="480"/>
      </w:pPr>
      <w:r w:rsidRPr="008D0EA2">
        <w:rPr>
          <w:smallCaps/>
        </w:rPr>
        <w:t>Tercier Pierre u.a.</w:t>
      </w:r>
      <w:r w:rsidRPr="008D0EA2">
        <w:t xml:space="preserve"> (</w:t>
      </w:r>
      <w:r w:rsidRPr="008D0EA2">
        <w:rPr>
          <w:smallCaps/>
        </w:rPr>
        <w:t>Hrsg</w:t>
      </w:r>
      <w:r w:rsidRPr="008D0EA2">
        <w:t>.), Gauchs Welt. Recht, Vertragsrecht und Baurecht. Festschrift für Peter Gauch zum 65. Geburtstag, Zürich u.a. 2004.</w:t>
      </w:r>
    </w:p>
    <w:p w14:paraId="28C1D703" w14:textId="11116D61" w:rsidR="00DD3277" w:rsidRPr="00A20494" w:rsidRDefault="002B6EC9" w:rsidP="00A20494">
      <w:r w:rsidRPr="008D0EA2">
        <w:t>Ein Untertitel oder Alternativtitel, und sei er noch so lang, gehört zum Titel und darum ebenfalls in das Literaturverzeichnis. Zwischen Titel und Untertitel (sowie nötigenfalls Unter-Untertitel) wird ein Punkt gesetzt:</w:t>
      </w:r>
    </w:p>
    <w:p w14:paraId="6D45669D" w14:textId="67C3FCEC" w:rsidR="00DD3277" w:rsidRPr="00A20494" w:rsidRDefault="002B6EC9" w:rsidP="005E54E6">
      <w:pPr>
        <w:pStyle w:val="Eingerckt"/>
        <w:spacing w:after="480"/>
      </w:pPr>
      <w:r w:rsidRPr="008D0EA2">
        <w:rPr>
          <w:smallCaps/>
        </w:rPr>
        <w:t>Böckli Peter</w:t>
      </w:r>
      <w:r w:rsidRPr="008D0EA2">
        <w:t>, Schweizer Akti</w:t>
      </w:r>
      <w:r w:rsidR="00EF0CF0" w:rsidRPr="008D0EA2">
        <w:t>enrecht. Mit Fusionsgesetz, Bör</w:t>
      </w:r>
      <w:r w:rsidRPr="008D0EA2">
        <w:t>sengesellschaftsrecht, Konzernrecht, Corporate Governance, Recht der Revisionsstelle und der Abschlussprüfung in neuer Fassung unter Berücksichtigung der angelaufenen Revision des Aktien- und Rechnungslegungsrechts, 4. Aufl., Zürich u.a. 2009.</w:t>
      </w:r>
    </w:p>
    <w:p w14:paraId="02A67423" w14:textId="17F12A13" w:rsidR="00DD3277" w:rsidRPr="00A20494" w:rsidRDefault="002B6EC9" w:rsidP="00A20494">
      <w:r w:rsidRPr="008D0EA2">
        <w:t>Bei denjenigen Dissertationen, die nicht im Verlagswesen, sondern durch Eigendruck publiziert sind, gibt man die Universität und Fachrichtung an:</w:t>
      </w:r>
    </w:p>
    <w:p w14:paraId="216C69DD" w14:textId="63BAEB6E" w:rsidR="00DD3277" w:rsidRPr="00A20494" w:rsidRDefault="00811ADD" w:rsidP="005E54E6">
      <w:pPr>
        <w:pStyle w:val="Eingerckt"/>
        <w:spacing w:after="480"/>
      </w:pPr>
      <w:r>
        <w:rPr>
          <w:smallCaps/>
        </w:rPr>
        <w:t xml:space="preserve">Keller Roland, </w:t>
      </w:r>
      <w:r>
        <w:t>Anwendungsfälle der Drittschadensliquidation und des Vertrages mit Schutzwirkung zugunsten Dritter, unter besonderer Berücksichtigung des englischen Rechts, Diss. Zürich 2004.</w:t>
      </w:r>
    </w:p>
    <w:p w14:paraId="49457B15" w14:textId="06970F2E" w:rsidR="0053302F" w:rsidRDefault="0053302F" w:rsidP="00A20494">
      <w:r>
        <w:t>Wird die Dissertation hingegen im Verlagswesen publiziert (erkennbar daran, dass sie eine ISBN trägt), gibt man sowohl Universität («Diss. Bern») wie auch Verlagsort an:</w:t>
      </w:r>
    </w:p>
    <w:p w14:paraId="6C2E02A4" w14:textId="67D12647" w:rsidR="0053302F" w:rsidRDefault="0053302F" w:rsidP="005E54E6">
      <w:pPr>
        <w:spacing w:after="480"/>
        <w:ind w:left="567"/>
      </w:pPr>
      <w:r w:rsidRPr="0053302F">
        <w:rPr>
          <w:smallCaps/>
        </w:rPr>
        <w:t>Gyr Eleonor</w:t>
      </w:r>
      <w:r w:rsidRPr="00503107">
        <w:t xml:space="preserve">, Blockchain und Smart Contracts. </w:t>
      </w:r>
      <w:r w:rsidRPr="00455B41">
        <w:t>Die vertragsrechtlichen Implikationen einer neuen Technologie (Diss. Bern), Bern 2019</w:t>
      </w:r>
      <w:r>
        <w:t>.</w:t>
      </w:r>
    </w:p>
    <w:p w14:paraId="1EA7C7A3" w14:textId="1F9E4091" w:rsidR="00DD3277" w:rsidRPr="003F4F8E" w:rsidRDefault="002B6EC9" w:rsidP="003F4F8E">
      <w:r w:rsidRPr="008D0EA2">
        <w:rPr>
          <w:rFonts w:cs="Times New Roman"/>
          <w:szCs w:val="24"/>
        </w:rPr>
        <w:t>Auf Ergänzungsangaben zur Zitierweise ist zu verzichten:</w:t>
      </w:r>
    </w:p>
    <w:p w14:paraId="25A28432" w14:textId="620F92BA" w:rsidR="00D156D4" w:rsidRPr="008D0EA2" w:rsidRDefault="002B6EC9" w:rsidP="00A20494">
      <w:pPr>
        <w:pStyle w:val="Eingerckt"/>
      </w:pPr>
      <w:r w:rsidRPr="008D0EA2">
        <w:rPr>
          <w:smallCaps/>
        </w:rPr>
        <w:t>Gauch Peter</w:t>
      </w:r>
      <w:r w:rsidRPr="008D0EA2">
        <w:t xml:space="preserve">, Der Werkvertrag, </w:t>
      </w:r>
      <w:r w:rsidR="002061C9">
        <w:t>6</w:t>
      </w:r>
      <w:r w:rsidR="00D156D4" w:rsidRPr="008D0EA2">
        <w:t>. Aufl., Zürich u.a. 20</w:t>
      </w:r>
      <w:r w:rsidR="002061C9">
        <w:t>19</w:t>
      </w:r>
      <w:r w:rsidR="00D156D4" w:rsidRPr="008D0EA2">
        <w:t>. [zi</w:t>
      </w:r>
      <w:r w:rsidRPr="008D0EA2">
        <w:t>tiert: Werkvertrag – auf diesen Zusatz ist zu verzichten]</w:t>
      </w:r>
    </w:p>
    <w:p w14:paraId="75DD0A17" w14:textId="7917FDF0" w:rsidR="00DD3277" w:rsidRPr="00A20494" w:rsidRDefault="002B6EC9" w:rsidP="005E54E6">
      <w:pPr>
        <w:pStyle w:val="Eingerckt"/>
        <w:spacing w:after="480"/>
      </w:pPr>
      <w:r w:rsidRPr="008D0EA2">
        <w:rPr>
          <w:smallCaps/>
        </w:rPr>
        <w:t>Gauch Peter</w:t>
      </w:r>
      <w:r w:rsidRPr="008D0EA2">
        <w:t>, Die Vereinheitlichung der Delikts- und Vertragshaftung, ZSR</w:t>
      </w:r>
      <w:r w:rsidR="00D81A78">
        <w:t> </w:t>
      </w:r>
      <w:r w:rsidRPr="008D0EA2">
        <w:t xml:space="preserve">1997 </w:t>
      </w:r>
      <w:r w:rsidR="00D156D4" w:rsidRPr="008D0EA2">
        <w:t>I, S. 315</w:t>
      </w:r>
      <w:r w:rsidR="006C5766">
        <w:t>–</w:t>
      </w:r>
      <w:r w:rsidR="00D156D4" w:rsidRPr="008D0EA2">
        <w:t>341. [zitiert: Verein</w:t>
      </w:r>
      <w:r w:rsidRPr="008D0EA2">
        <w:t>heitlichung – auf diesen Zusatz ist zu verzichten]</w:t>
      </w:r>
    </w:p>
    <w:p w14:paraId="3BD9105D" w14:textId="0BEFEC90" w:rsidR="00D156D4" w:rsidRPr="008D0EA2" w:rsidRDefault="002B6EC9" w:rsidP="00A20494">
      <w:r w:rsidRPr="008D0EA2">
        <w:lastRenderedPageBreak/>
        <w:t>Wenn hier mit «</w:t>
      </w:r>
      <w:r w:rsidRPr="008D0EA2">
        <w:rPr>
          <w:smallCaps/>
        </w:rPr>
        <w:t>Gauch</w:t>
      </w:r>
      <w:r w:rsidRPr="008D0EA2">
        <w:t>, Werkvertrag» und «</w:t>
      </w:r>
      <w:r w:rsidRPr="008D0EA2">
        <w:rPr>
          <w:smallCaps/>
        </w:rPr>
        <w:t>Gauch</w:t>
      </w:r>
      <w:r w:rsidRPr="008D0EA2">
        <w:t>, Vereinheitlichung» zitiert wird, ergibt sich die eindeutige Zuor</w:t>
      </w:r>
      <w:r w:rsidR="00D156D4" w:rsidRPr="008D0EA2">
        <w:t>dnung bereits aus dem Titel, oh</w:t>
      </w:r>
      <w:r w:rsidRPr="008D0EA2">
        <w:t>ne dass die Ergänzungsangabe [zit</w:t>
      </w:r>
      <w:r w:rsidR="00E213F4">
        <w:t>.</w:t>
      </w:r>
      <w:r w:rsidRPr="008D0EA2">
        <w:t>: Werkvertrag] bzw. [zit</w:t>
      </w:r>
      <w:r w:rsidR="00E213F4">
        <w:t>.</w:t>
      </w:r>
      <w:r w:rsidRPr="008D0EA2">
        <w:t>: Vereinheitlichung] nötig ist.</w:t>
      </w:r>
    </w:p>
    <w:p w14:paraId="19BFFA26" w14:textId="151FBE30" w:rsidR="00DD3277" w:rsidRPr="003F4F8E" w:rsidRDefault="002B6EC9" w:rsidP="003F4F8E">
      <w:r w:rsidRPr="008D0EA2">
        <w:t>Notwendig ist eine Ergänzungsangabe jedoch dann, wenn sich die Zuordnung nur implizit aus dem Titel ergibt:</w:t>
      </w:r>
    </w:p>
    <w:p w14:paraId="74EC38ED" w14:textId="5A67165D" w:rsidR="00D156D4" w:rsidRPr="008D0EA2" w:rsidRDefault="002B6EC9" w:rsidP="00A20494">
      <w:pPr>
        <w:pStyle w:val="Eingerckt"/>
      </w:pPr>
      <w:r w:rsidRPr="008D0EA2">
        <w:rPr>
          <w:smallCaps/>
        </w:rPr>
        <w:t>Kant Immanuel</w:t>
      </w:r>
      <w:r w:rsidRPr="008D0EA2">
        <w:t>, Die Metaphysik der Sitten, 2. Aufl., Königsberg 1798, zitiert nach der Weischedel-Ausgabe, Band VIII, 9. Aufl., Frankfurt a.M. 1991</w:t>
      </w:r>
      <w:r w:rsidR="00087A98">
        <w:t xml:space="preserve"> (zit. MdS)</w:t>
      </w:r>
      <w:r w:rsidRPr="008D0EA2">
        <w:t xml:space="preserve">. </w:t>
      </w:r>
    </w:p>
    <w:p w14:paraId="28E13600" w14:textId="3FD1D8A2" w:rsidR="00DD3277" w:rsidRPr="00A20494" w:rsidRDefault="002B6EC9" w:rsidP="005E54E6">
      <w:pPr>
        <w:pStyle w:val="Eingerckt"/>
        <w:spacing w:after="480"/>
      </w:pPr>
      <w:r w:rsidRPr="008D0EA2">
        <w:rPr>
          <w:smallCaps/>
        </w:rPr>
        <w:t>Kant Immanuel</w:t>
      </w:r>
      <w:r w:rsidRPr="008D0EA2">
        <w:t>, Kritik der reinen Vernunft, Riga 1781 (1. Aufl.), 1787 (2. Aufl.), ziti</w:t>
      </w:r>
      <w:r w:rsidR="00D156D4" w:rsidRPr="008D0EA2">
        <w:t>ert mit der Seitenzahl der Erst</w:t>
      </w:r>
      <w:r w:rsidRPr="008D0EA2">
        <w:t>auflage 'A', Seitenzahl der Zweitauflage 'B'</w:t>
      </w:r>
      <w:r w:rsidR="00541B4D">
        <w:t xml:space="preserve"> (zit. KrV)</w:t>
      </w:r>
      <w:r w:rsidRPr="008D0EA2">
        <w:t xml:space="preserve">. </w:t>
      </w:r>
    </w:p>
    <w:p w14:paraId="62E17477" w14:textId="72C401DB" w:rsidR="00D156D4" w:rsidRPr="008D0EA2" w:rsidRDefault="002B6EC9" w:rsidP="00A20494">
      <w:r w:rsidRPr="008D0EA2">
        <w:t xml:space="preserve">Werden mehrere Werke desselben Autors/derselben Autorengruppe in das Literaturverzeichnis aufgenommen, sind diese Werke </w:t>
      </w:r>
      <w:r w:rsidR="00D156D4" w:rsidRPr="008D0EA2">
        <w:t>in umge</w:t>
      </w:r>
      <w:r w:rsidRPr="008D0EA2">
        <w:t>kehrt chronologischer Reihenfolge nach dem Erscheinungsdatum zu sortieren</w:t>
      </w:r>
      <w:r w:rsidR="0089476F">
        <w:t xml:space="preserve"> (neue</w:t>
      </w:r>
      <w:r w:rsidR="00231A20">
        <w:t>stes Werk zuerst)</w:t>
      </w:r>
      <w:r w:rsidRPr="008D0EA2">
        <w:t>. Der Name des Autors/der Autoren ist lediglich beim neuesten Werk anzubringen. Die übrig</w:t>
      </w:r>
      <w:r w:rsidR="00D156D4" w:rsidRPr="008D0EA2">
        <w:t>en Werke werden mit einem Gedan</w:t>
      </w:r>
      <w:r w:rsidRPr="008D0EA2">
        <w:t>kenstrich und dem Titel (etc.) aufgeführt (siehe dazu</w:t>
      </w:r>
      <w:r w:rsidR="00D156D4" w:rsidRPr="008D0EA2">
        <w:t xml:space="preserve"> vorne im Litera</w:t>
      </w:r>
      <w:r w:rsidRPr="008D0EA2">
        <w:t xml:space="preserve">turverzeichnis unter </w:t>
      </w:r>
      <w:r w:rsidRPr="008D0EA2">
        <w:rPr>
          <w:smallCaps/>
        </w:rPr>
        <w:t>Gauch, Peter;</w:t>
      </w:r>
      <w:r w:rsidR="00D156D4" w:rsidRPr="008D0EA2">
        <w:rPr>
          <w:smallCaps/>
        </w:rPr>
        <w:t xml:space="preserve"> Honsell, Heinrich</w:t>
      </w:r>
      <w:r w:rsidR="00D156D4" w:rsidRPr="008D0EA2">
        <w:t xml:space="preserve"> und </w:t>
      </w:r>
      <w:r w:rsidR="003305C3">
        <w:rPr>
          <w:smallCaps/>
        </w:rPr>
        <w:t>Koller, Alfred</w:t>
      </w:r>
      <w:r w:rsidRPr="008D0EA2">
        <w:t>).</w:t>
      </w:r>
    </w:p>
    <w:p w14:paraId="7E3DEA98" w14:textId="77777777" w:rsidR="00D156D4" w:rsidRPr="008D0EA2" w:rsidRDefault="002B6EC9" w:rsidP="00F51BE4">
      <w:pPr>
        <w:pStyle w:val="berschrift3"/>
        <w:spacing w:line="288" w:lineRule="auto"/>
        <w:contextualSpacing/>
        <w:rPr>
          <w:rFonts w:ascii="Times New Roman" w:hAnsi="Times New Roman" w:cs="Times New Roman"/>
          <w:sz w:val="24"/>
          <w:szCs w:val="24"/>
        </w:rPr>
      </w:pPr>
      <w:bookmarkStart w:id="20" w:name="_Toc97043971"/>
      <w:r w:rsidRPr="008D0EA2">
        <w:rPr>
          <w:rFonts w:ascii="Times New Roman" w:hAnsi="Times New Roman" w:cs="Times New Roman"/>
          <w:sz w:val="24"/>
          <w:szCs w:val="24"/>
        </w:rPr>
        <w:t>b)</w:t>
      </w:r>
      <w:r w:rsidRPr="008D0EA2">
        <w:rPr>
          <w:rFonts w:ascii="Times New Roman" w:hAnsi="Times New Roman" w:cs="Times New Roman"/>
          <w:sz w:val="24"/>
          <w:szCs w:val="24"/>
        </w:rPr>
        <w:tab/>
        <w:t>Zeitschriften</w:t>
      </w:r>
      <w:bookmarkEnd w:id="20"/>
    </w:p>
    <w:p w14:paraId="60FE860A" w14:textId="77777777" w:rsidR="00A20494" w:rsidRDefault="002B6EC9" w:rsidP="00A20494">
      <w:r w:rsidRPr="008D0EA2">
        <w:t>Bei Zeitschriftenaufsätzen steht der vollständige Titel und Untertitel des Aufsatzes im Literaturverzeichnis, gefolgt von der Zeitschriftenan</w:t>
      </w:r>
      <w:r w:rsidR="00D156D4" w:rsidRPr="008D0EA2">
        <w:t>ga</w:t>
      </w:r>
      <w:r w:rsidRPr="008D0EA2">
        <w:t>be, die bei schweizerischen Fachzeitschriften mit einem Kürzel erfolgen kann.</w:t>
      </w:r>
      <w:r w:rsidR="008C0B74" w:rsidRPr="00A20494">
        <w:rPr>
          <w:rStyle w:val="Funotenzeichen"/>
        </w:rPr>
        <w:footnoteReference w:id="8"/>
      </w:r>
      <w:r w:rsidRPr="008D0EA2">
        <w:t xml:space="preserve"> Für deutsche Zeitschri</w:t>
      </w:r>
      <w:r w:rsidR="00D156D4" w:rsidRPr="008D0EA2">
        <w:t>ften dürfen die Abkürzungen verwen</w:t>
      </w:r>
      <w:r w:rsidRPr="008D0EA2">
        <w:t xml:space="preserve">det werden, die bei </w:t>
      </w:r>
      <w:r w:rsidRPr="008D0EA2">
        <w:rPr>
          <w:smallCaps/>
        </w:rPr>
        <w:t>Kirchner</w:t>
      </w:r>
      <w:r w:rsidRPr="008D0EA2">
        <w:t xml:space="preserve"> au</w:t>
      </w:r>
      <w:r w:rsidR="00D156D4" w:rsidRPr="008D0EA2">
        <w:t xml:space="preserve">fgeführt </w:t>
      </w:r>
      <w:r w:rsidR="00DF1A6D" w:rsidRPr="008D0EA2">
        <w:t>sind.</w:t>
      </w:r>
      <w:r w:rsidR="008C0B74" w:rsidRPr="00A20494">
        <w:rPr>
          <w:rStyle w:val="Funotenzeichen"/>
        </w:rPr>
        <w:footnoteReference w:id="9"/>
      </w:r>
      <w:r w:rsidR="00DF1A6D" w:rsidRPr="00A20494">
        <w:rPr>
          <w:rStyle w:val="Funotenzeichen"/>
        </w:rPr>
        <w:t xml:space="preserve"> </w:t>
      </w:r>
    </w:p>
    <w:p w14:paraId="2FFF71AD" w14:textId="2A464B13" w:rsidR="00DD3277" w:rsidRPr="00A20494" w:rsidRDefault="00D156D4" w:rsidP="00162920">
      <w:pPr>
        <w:pStyle w:val="StandardE"/>
        <w:keepNext/>
      </w:pPr>
      <w:r w:rsidRPr="008D0EA2">
        <w:t>Im Literaturver</w:t>
      </w:r>
      <w:r w:rsidR="002B6EC9" w:rsidRPr="008D0EA2">
        <w:t xml:space="preserve">zeichnis ist für jeden Zeitschriftenaufsatz sowohl die </w:t>
      </w:r>
      <w:r w:rsidRPr="008D0EA2">
        <w:t>An</w:t>
      </w:r>
      <w:r w:rsidR="002B6EC9" w:rsidRPr="008D0EA2">
        <w:t>fangs- als auch die Endseite des Beitrags anzugeben. Die Seitenzahlen sind in Fachzeitschriften regel</w:t>
      </w:r>
      <w:r w:rsidRPr="008D0EA2">
        <w:t>mässig innerhalb ei</w:t>
      </w:r>
      <w:r w:rsidR="002B6EC9" w:rsidRPr="008D0EA2">
        <w:t>nes Jahrgangs fo</w:t>
      </w:r>
      <w:r w:rsidRPr="008D0EA2">
        <w:t>rtlaufend nummeriert, um das Zi</w:t>
      </w:r>
      <w:r w:rsidR="002B6EC9" w:rsidRPr="008D0EA2">
        <w:t xml:space="preserve">tieren zu </w:t>
      </w:r>
      <w:r w:rsidR="002B6EC9" w:rsidRPr="008D0EA2">
        <w:lastRenderedPageBreak/>
        <w:t xml:space="preserve">vereinfachen. Es ist darum </w:t>
      </w:r>
      <w:r w:rsidR="004F0892">
        <w:t xml:space="preserve">meistens </w:t>
      </w:r>
      <w:r w:rsidR="002B6EC9" w:rsidRPr="008D0EA2">
        <w:t>gleichgültig, in welchem Monat (Heft) der Beitrag erschienen ist; das Jahr und die Seitenangaben genügen:</w:t>
      </w:r>
    </w:p>
    <w:p w14:paraId="4D420842" w14:textId="28737E6F" w:rsidR="00DD3277" w:rsidRPr="00A20494" w:rsidRDefault="0041027C" w:rsidP="00162920">
      <w:pPr>
        <w:pStyle w:val="Eingerckt"/>
        <w:keepNext/>
        <w:spacing w:after="480"/>
      </w:pPr>
      <w:r w:rsidRPr="00CC29C6">
        <w:rPr>
          <w:smallCaps/>
        </w:rPr>
        <w:t>Gauch Peter</w:t>
      </w:r>
      <w:r>
        <w:rPr>
          <w:i/>
        </w:rPr>
        <w:t xml:space="preserve">, </w:t>
      </w:r>
      <w:r>
        <w:t xml:space="preserve">Die revidierten Art. 210 und 371 </w:t>
      </w:r>
      <w:r w:rsidRPr="00402B09">
        <w:t>OR, recht 2012, S. 124</w:t>
      </w:r>
      <w:r w:rsidR="00402B09" w:rsidRPr="00402B09">
        <w:t>–136.</w:t>
      </w:r>
    </w:p>
    <w:p w14:paraId="25848425" w14:textId="13AB0926" w:rsidR="009428FB" w:rsidRDefault="009428FB" w:rsidP="003F4F8E">
      <w:r>
        <w:t xml:space="preserve">Bei wenigen Zeitschriften sind die Seitenzahlen innerhalb eines Jahrgangs </w:t>
      </w:r>
      <w:r w:rsidRPr="009428FB">
        <w:rPr>
          <w:i/>
          <w:iCs/>
        </w:rPr>
        <w:t>nicht</w:t>
      </w:r>
      <w:r>
        <w:t xml:space="preserve"> fortlaufend nummeriert. In </w:t>
      </w:r>
      <w:r w:rsidR="00E93D97">
        <w:t>solchen</w:t>
      </w:r>
      <w:r>
        <w:t xml:space="preserve"> </w:t>
      </w:r>
      <w:r w:rsidR="00E93D97">
        <w:t>Fällen</w:t>
      </w:r>
      <w:r>
        <w:t xml:space="preserve"> muss die Nummer der Ausgabe</w:t>
      </w:r>
      <w:r w:rsidR="004F0892">
        <w:t xml:space="preserve"> (Heft)</w:t>
      </w:r>
      <w:r>
        <w:t xml:space="preserve"> ebenfalls zitiert werden</w:t>
      </w:r>
      <w:r w:rsidR="00383BF4">
        <w:t>:</w:t>
      </w:r>
    </w:p>
    <w:p w14:paraId="621B9CA9" w14:textId="051F674F" w:rsidR="009428FB" w:rsidRDefault="00E93D97" w:rsidP="005E54E6">
      <w:pPr>
        <w:pStyle w:val="Eingerckt"/>
        <w:spacing w:after="480"/>
      </w:pPr>
      <w:r w:rsidRPr="00E93D97">
        <w:rPr>
          <w:smallCaps/>
        </w:rPr>
        <w:t>Lombardi Patrick</w:t>
      </w:r>
      <w:r>
        <w:t xml:space="preserve">, La </w:t>
      </w:r>
      <w:r w:rsidRPr="00E93D97">
        <w:t>LFAIE et les opérations de refinancement bancaires</w:t>
      </w:r>
      <w:r>
        <w:t>, ex ante 2020-1, S. 12–21.</w:t>
      </w:r>
    </w:p>
    <w:p w14:paraId="332BD560" w14:textId="7CCA0AEA" w:rsidR="00DD3277" w:rsidRPr="003F4F8E" w:rsidRDefault="002B6EC9" w:rsidP="00205E47">
      <w:r w:rsidRPr="008D0EA2">
        <w:t xml:space="preserve">Konventionsgemäss wird bei gewissen Jahreszeitschriften nebst der Jahreszahl die </w:t>
      </w:r>
      <w:r w:rsidR="00205E47" w:rsidRPr="00A87058">
        <w:t>ihr entsprechende</w:t>
      </w:r>
      <w:r w:rsidR="00205E47">
        <w:t xml:space="preserve"> </w:t>
      </w:r>
      <w:r w:rsidRPr="008D0EA2">
        <w:t xml:space="preserve">Bandzahl angegeben. Dies ist vor allem der Fall bei Zeitschriften, die seltener als einmal </w:t>
      </w:r>
      <w:r w:rsidR="00DD3277" w:rsidRPr="008D0EA2">
        <w:t>monatlich erscheinen (z.B. Vier</w:t>
      </w:r>
      <w:r w:rsidRPr="008D0EA2">
        <w:t xml:space="preserve">teljahreshefte, Archiv-Zeitschriften): </w:t>
      </w:r>
    </w:p>
    <w:p w14:paraId="18214663" w14:textId="3415208D" w:rsidR="00205E47" w:rsidRPr="004F0892" w:rsidRDefault="00205E47" w:rsidP="004F0892">
      <w:pPr>
        <w:pStyle w:val="Eingerckt"/>
      </w:pPr>
      <w:r w:rsidRPr="00402B09">
        <w:rPr>
          <w:smallCaps/>
        </w:rPr>
        <w:t>Bydlinsky Franz</w:t>
      </w:r>
      <w:r w:rsidRPr="00402B09">
        <w:t>, Zu den dogmatischen Grundlagen des Kontrahierungszwangs, AcP 180</w:t>
      </w:r>
      <w:r w:rsidRPr="00D81A78">
        <w:t xml:space="preserve">/1980, </w:t>
      </w:r>
      <w:r w:rsidRPr="00402B09">
        <w:t>S. 2–46.</w:t>
      </w:r>
    </w:p>
    <w:p w14:paraId="2B06B790" w14:textId="2009196E" w:rsidR="00205E47" w:rsidRPr="00402B09" w:rsidRDefault="00205E47" w:rsidP="00205E47">
      <w:pPr>
        <w:pStyle w:val="Eingerckt"/>
      </w:pPr>
      <w:r w:rsidRPr="008D0EA2">
        <w:rPr>
          <w:smallCaps/>
        </w:rPr>
        <w:t>Gauch Peter</w:t>
      </w:r>
      <w:r w:rsidRPr="008D0EA2">
        <w:t>, Die Vereinheitlichung der Delikts- und Vertragshaftung, ZSR</w:t>
      </w:r>
      <w:r>
        <w:t> 116/</w:t>
      </w:r>
      <w:r w:rsidRPr="008D0EA2">
        <w:t>1997 I, S. 315</w:t>
      </w:r>
      <w:r>
        <w:t>–</w:t>
      </w:r>
      <w:r w:rsidRPr="008D0EA2">
        <w:t>341.</w:t>
      </w:r>
    </w:p>
    <w:p w14:paraId="33A58FA1" w14:textId="6E11A62C" w:rsidR="00DF1A6D" w:rsidRPr="00402B09" w:rsidRDefault="002B6EC9" w:rsidP="005E54E6">
      <w:pPr>
        <w:pStyle w:val="Eingerckt"/>
        <w:spacing w:after="480"/>
      </w:pPr>
      <w:r w:rsidRPr="008D0EA2">
        <w:rPr>
          <w:smallCaps/>
        </w:rPr>
        <w:t>Forstmoser Peter</w:t>
      </w:r>
      <w:r w:rsidRPr="008D0EA2">
        <w:t>, Wer «A» sagt muss auch «B»</w:t>
      </w:r>
      <w:r w:rsidR="00DF1A6D" w:rsidRPr="008D0EA2">
        <w:t xml:space="preserve"> sagen. Gedan</w:t>
      </w:r>
      <w:r w:rsidRPr="008D0EA2">
        <w:t>ken zur Privatisierungsdebatte, SJZ 98</w:t>
      </w:r>
      <w:r w:rsidR="00B850BF">
        <w:t>/2002</w:t>
      </w:r>
      <w:r w:rsidRPr="008D0EA2">
        <w:t xml:space="preserve">, </w:t>
      </w:r>
      <w:r w:rsidRPr="00402B09">
        <w:t>S. 193</w:t>
      </w:r>
      <w:r w:rsidR="00ED78DB" w:rsidRPr="00402B09">
        <w:t>–</w:t>
      </w:r>
      <w:r w:rsidRPr="00402B09">
        <w:t>202.</w:t>
      </w:r>
      <w:r w:rsidR="00DF1A6D" w:rsidRPr="00402B09">
        <w:t xml:space="preserve"> </w:t>
      </w:r>
    </w:p>
    <w:p w14:paraId="138534F4" w14:textId="68870A08" w:rsidR="00C342AA" w:rsidRPr="00D81A78" w:rsidRDefault="009428FB" w:rsidP="009428FB">
      <w:r w:rsidRPr="00D81A78">
        <w:t>Heute wird allerdings überwiegend auch bei diesen Zeitschriften nur die Jahreszahl zitiert</w:t>
      </w:r>
      <w:r w:rsidR="00C342AA">
        <w:t xml:space="preserve">. Zu beachten bleibt: Falls </w:t>
      </w:r>
      <w:r w:rsidR="00C342AA" w:rsidRPr="002A510C">
        <w:rPr>
          <w:i/>
          <w:iCs/>
        </w:rPr>
        <w:t>innerhalb</w:t>
      </w:r>
      <w:r w:rsidR="00C342AA">
        <w:t xml:space="preserve"> </w:t>
      </w:r>
      <w:r w:rsidR="00C342AA" w:rsidRPr="00C342AA">
        <w:rPr>
          <w:i/>
          <w:iCs/>
        </w:rPr>
        <w:t>desselben</w:t>
      </w:r>
      <w:r w:rsidR="00C342AA">
        <w:t xml:space="preserve"> Jahrgangs mehrere </w:t>
      </w:r>
      <w:r w:rsidR="00B779F0">
        <w:t>B</w:t>
      </w:r>
      <w:r w:rsidR="00C342AA">
        <w:t>ände existieren, muss der zitierte Band angegeben werden.</w:t>
      </w:r>
      <w:r w:rsidR="00B779F0">
        <w:t xml:space="preserve"> So erscheint etwa die </w:t>
      </w:r>
      <w:r w:rsidR="00B779F0" w:rsidRPr="00B779F0">
        <w:t xml:space="preserve">Zeitschrift für </w:t>
      </w:r>
      <w:proofErr w:type="gramStart"/>
      <w:r w:rsidR="00B779F0" w:rsidRPr="00B779F0">
        <w:t>Schweizerisches</w:t>
      </w:r>
      <w:proofErr w:type="gramEnd"/>
      <w:r w:rsidR="00B779F0" w:rsidRPr="00B779F0">
        <w:t xml:space="preserve"> Recht (ZSR)</w:t>
      </w:r>
      <w:r w:rsidR="00B779F0">
        <w:t xml:space="preserve"> jedes Jahr in zwei Bänden (Band I und Band II):</w:t>
      </w:r>
    </w:p>
    <w:p w14:paraId="4E12D87D" w14:textId="3F4AEC2A" w:rsidR="009428FB" w:rsidRDefault="00205E47" w:rsidP="005E54E6">
      <w:pPr>
        <w:pStyle w:val="Eingerckt"/>
        <w:spacing w:after="480"/>
      </w:pPr>
      <w:r w:rsidRPr="008D0EA2">
        <w:rPr>
          <w:smallCaps/>
        </w:rPr>
        <w:t>Gauch Peter</w:t>
      </w:r>
      <w:r w:rsidRPr="008D0EA2">
        <w:t>, Die Vereinheitlichung der Delikts- und Vertragshaftung, ZSR</w:t>
      </w:r>
      <w:r>
        <w:t> </w:t>
      </w:r>
      <w:r w:rsidRPr="008D0EA2">
        <w:t>1997 I, S. 315</w:t>
      </w:r>
      <w:r>
        <w:t>–</w:t>
      </w:r>
      <w:r w:rsidRPr="008D0EA2">
        <w:t>341.</w:t>
      </w:r>
    </w:p>
    <w:p w14:paraId="198CBC2D" w14:textId="77777777" w:rsidR="002B6EC9" w:rsidRPr="008D0EA2" w:rsidRDefault="002B6EC9" w:rsidP="00F51BE4">
      <w:pPr>
        <w:pStyle w:val="berschrift3"/>
        <w:spacing w:line="288" w:lineRule="auto"/>
        <w:contextualSpacing/>
        <w:rPr>
          <w:rFonts w:ascii="Times New Roman" w:hAnsi="Times New Roman" w:cs="Times New Roman"/>
          <w:sz w:val="24"/>
          <w:szCs w:val="24"/>
        </w:rPr>
      </w:pPr>
      <w:bookmarkStart w:id="21" w:name="_Toc97043972"/>
      <w:r w:rsidRPr="008D0EA2">
        <w:rPr>
          <w:rFonts w:ascii="Times New Roman" w:hAnsi="Times New Roman" w:cs="Times New Roman"/>
          <w:sz w:val="24"/>
          <w:szCs w:val="24"/>
        </w:rPr>
        <w:t>c)</w:t>
      </w:r>
      <w:r w:rsidRPr="008D0EA2">
        <w:rPr>
          <w:rFonts w:ascii="Times New Roman" w:hAnsi="Times New Roman" w:cs="Times New Roman"/>
          <w:sz w:val="24"/>
          <w:szCs w:val="24"/>
        </w:rPr>
        <w:tab/>
        <w:t>Sammelwerke</w:t>
      </w:r>
      <w:bookmarkEnd w:id="21"/>
    </w:p>
    <w:p w14:paraId="0EB2B4CD" w14:textId="43A5306F" w:rsidR="00DD3277" w:rsidRPr="008D0EA2" w:rsidRDefault="002B6EC9" w:rsidP="00F51BE4">
      <w:pPr>
        <w:spacing w:before="120" w:line="288" w:lineRule="auto"/>
        <w:contextualSpacing/>
        <w:rPr>
          <w:rFonts w:cs="Times New Roman"/>
          <w:szCs w:val="24"/>
        </w:rPr>
      </w:pPr>
      <w:r w:rsidRPr="008D0EA2">
        <w:rPr>
          <w:rFonts w:cs="Times New Roman"/>
          <w:szCs w:val="24"/>
        </w:rPr>
        <w:t xml:space="preserve">Beiträge aus Sammelwerken, insbesondere aus Festschriften und Tagungsbänden, zitiert man ähnlich wie Zeitschriftenbeiträge, nur dass an die Stelle der Zeitschriftenangabe die Herausgeberangabe mit dem Buchtitel tritt. Herausgebernamen (erster </w:t>
      </w:r>
      <w:r w:rsidRPr="008D0EA2">
        <w:rPr>
          <w:rFonts w:cs="Times New Roman"/>
          <w:szCs w:val="24"/>
        </w:rPr>
        <w:lastRenderedPageBreak/>
        <w:t xml:space="preserve">Vorname sowie die Initialen weiterer Vornamen gefolgt vom Namen, nicht durch Komma getrennt) werden nicht </w:t>
      </w:r>
      <w:r w:rsidR="009C3EC1" w:rsidRPr="008D0EA2">
        <w:rPr>
          <w:rFonts w:cs="Times New Roman"/>
          <w:szCs w:val="24"/>
        </w:rPr>
        <w:t>in Kapitälchen</w:t>
      </w:r>
      <w:r w:rsidR="00DF1A6D" w:rsidRPr="008D0EA2">
        <w:rPr>
          <w:rFonts w:cs="Times New Roman"/>
          <w:szCs w:val="24"/>
        </w:rPr>
        <w:t xml:space="preserve"> gesetzt, um sie von den zi</w:t>
      </w:r>
      <w:r w:rsidRPr="008D0EA2">
        <w:rPr>
          <w:rFonts w:cs="Times New Roman"/>
          <w:szCs w:val="24"/>
        </w:rPr>
        <w:t xml:space="preserve">tierten Autoren zu unterscheiden. </w:t>
      </w:r>
    </w:p>
    <w:p w14:paraId="2638CD67" w14:textId="196BFBA4" w:rsidR="00560D83" w:rsidRDefault="00560D83" w:rsidP="005E54E6">
      <w:pPr>
        <w:pStyle w:val="Eingerckt"/>
        <w:spacing w:after="480"/>
        <w:rPr>
          <w:lang w:eastAsia="de-CH"/>
        </w:rPr>
      </w:pPr>
      <w:r w:rsidRPr="003B1911">
        <w:rPr>
          <w:rFonts w:eastAsia="Times New Roman" w:cs="Times New Roman"/>
          <w:smallCaps/>
          <w:szCs w:val="24"/>
          <w:lang w:eastAsia="de-CH"/>
        </w:rPr>
        <w:t>Bärtschi</w:t>
      </w:r>
      <w:r>
        <w:rPr>
          <w:lang w:eastAsia="de-CH"/>
        </w:rPr>
        <w:t xml:space="preserve"> </w:t>
      </w:r>
      <w:r w:rsidRPr="003B1911">
        <w:rPr>
          <w:rFonts w:eastAsia="Times New Roman" w:cs="Times New Roman"/>
          <w:smallCaps/>
          <w:szCs w:val="24"/>
          <w:lang w:eastAsia="de-CH"/>
        </w:rPr>
        <w:t>Harald</w:t>
      </w:r>
      <w:r>
        <w:rPr>
          <w:lang w:eastAsia="de-CH"/>
        </w:rPr>
        <w:t>, Verabsolutierte Abstraktheit oder relativierte Kausalität? – Zur Rechtsnatur der Forderungsabtretung, in: Rolf H. Weber u.a. (Hrsg.), Aktuelle Herausforderungen des Gesellschafts- und Finanzmarktrechts. Festschrift für Hans Caspar von der Crone zum 60. Geburtstag, Zürich 2017, S.</w:t>
      </w:r>
      <w:r w:rsidR="002A510C">
        <w:rPr>
          <w:lang w:eastAsia="de-CH"/>
        </w:rPr>
        <w:t> </w:t>
      </w:r>
      <w:r>
        <w:rPr>
          <w:lang w:eastAsia="de-CH"/>
        </w:rPr>
        <w:t>807</w:t>
      </w:r>
      <w:r w:rsidR="002A510C">
        <w:rPr>
          <w:lang w:eastAsia="de-CH"/>
        </w:rPr>
        <w:t>–825</w:t>
      </w:r>
      <w:r>
        <w:rPr>
          <w:lang w:eastAsia="de-CH"/>
        </w:rPr>
        <w:t>.</w:t>
      </w:r>
    </w:p>
    <w:p w14:paraId="25CD069E" w14:textId="77777777" w:rsidR="002B6EC9" w:rsidRPr="008D0EA2" w:rsidRDefault="002B6EC9" w:rsidP="00F51BE4">
      <w:pPr>
        <w:pStyle w:val="berschrift3"/>
        <w:spacing w:line="288" w:lineRule="auto"/>
        <w:contextualSpacing/>
        <w:rPr>
          <w:rFonts w:ascii="Times New Roman" w:hAnsi="Times New Roman" w:cs="Times New Roman"/>
          <w:sz w:val="24"/>
          <w:szCs w:val="24"/>
        </w:rPr>
      </w:pPr>
      <w:bookmarkStart w:id="22" w:name="_Toc97043973"/>
      <w:r w:rsidRPr="008D0EA2">
        <w:rPr>
          <w:rFonts w:ascii="Times New Roman" w:hAnsi="Times New Roman" w:cs="Times New Roman"/>
          <w:sz w:val="24"/>
          <w:szCs w:val="24"/>
        </w:rPr>
        <w:t>d)</w:t>
      </w:r>
      <w:r w:rsidRPr="008D0EA2">
        <w:rPr>
          <w:rFonts w:ascii="Times New Roman" w:hAnsi="Times New Roman" w:cs="Times New Roman"/>
          <w:sz w:val="24"/>
          <w:szCs w:val="24"/>
        </w:rPr>
        <w:tab/>
        <w:t>Kommentare</w:t>
      </w:r>
      <w:bookmarkEnd w:id="22"/>
    </w:p>
    <w:p w14:paraId="6B1CF71D" w14:textId="52F96F61" w:rsidR="001A25CA" w:rsidRDefault="002B6EC9" w:rsidP="001A25CA">
      <w:r w:rsidRPr="008D0EA2">
        <w:t>Kommentare sind nicht ganz einfach zu han</w:t>
      </w:r>
      <w:r w:rsidR="00021B22" w:rsidRPr="008D0EA2">
        <w:t>dhaben, weil sie mit vielen Be</w:t>
      </w:r>
      <w:r w:rsidRPr="008D0EA2">
        <w:t>arbeitern erscheinen, teils mit zeitve</w:t>
      </w:r>
      <w:r w:rsidR="00021B22" w:rsidRPr="008D0EA2">
        <w:t>rsetzten Nachlieferungen operieren (Loseblatt-Kommen</w:t>
      </w:r>
      <w:r w:rsidRPr="008D0EA2">
        <w:t xml:space="preserve">tare) und keine Titel enthalten. Die im Werk selbst vorgeschlagene Zitierweise ist zudem nicht immer vollständig. Wegen dieser Vielgestaltigkeit werden die </w:t>
      </w:r>
      <w:r w:rsidR="00AC3A77">
        <w:t xml:space="preserve">zitierten </w:t>
      </w:r>
      <w:r w:rsidRPr="008D0EA2">
        <w:t xml:space="preserve">Kommentierungen </w:t>
      </w:r>
      <w:r w:rsidR="00193B4C">
        <w:t xml:space="preserve">jeder </w:t>
      </w:r>
      <w:r w:rsidR="00AC3A77">
        <w:t>einzelnen</w:t>
      </w:r>
      <w:r w:rsidR="00193B4C">
        <w:t xml:space="preserve"> Autorin </w:t>
      </w:r>
      <w:r w:rsidRPr="008D0EA2">
        <w:t>in das Literaturverzeich</w:t>
      </w:r>
      <w:r w:rsidR="008C0B74" w:rsidRPr="008D0EA2">
        <w:t>nis aufgenommen – und zwar voll</w:t>
      </w:r>
      <w:r w:rsidRPr="008D0EA2">
        <w:t>ständig mit Namen</w:t>
      </w:r>
      <w:r w:rsidR="00AC3A77">
        <w:t xml:space="preserve"> und</w:t>
      </w:r>
      <w:r w:rsidR="00C16235">
        <w:t xml:space="preserve"> </w:t>
      </w:r>
      <w:r w:rsidRPr="008D0EA2">
        <w:t>Vornamen</w:t>
      </w:r>
      <w:r w:rsidR="00AC3A77">
        <w:t xml:space="preserve"> der Autorin, der Angabe des </w:t>
      </w:r>
      <w:proofErr w:type="gramStart"/>
      <w:r w:rsidR="00AC3A77">
        <w:t>von ihr kommentierten Artikels</w:t>
      </w:r>
      <w:proofErr w:type="gramEnd"/>
      <w:r w:rsidR="00AC3A77">
        <w:t>, gefolgt von Vornamen und Namen der Herausgeberschaft</w:t>
      </w:r>
      <w:r w:rsidRPr="008D0EA2">
        <w:t>, Band</w:t>
      </w:r>
      <w:r w:rsidR="00AC3A77">
        <w:t>, Titel</w:t>
      </w:r>
      <w:r w:rsidRPr="008D0EA2">
        <w:t xml:space="preserve"> und Erscheinungsort</w:t>
      </w:r>
      <w:r w:rsidR="00AC3A77">
        <w:t xml:space="preserve"> sowie -jahr</w:t>
      </w:r>
      <w:r w:rsidRPr="008D0EA2">
        <w:t>. Weil die Gliederung im Gesamtwerk durc</w:t>
      </w:r>
      <w:r w:rsidR="00021B22" w:rsidRPr="008D0EA2">
        <w:t>h die Artikelreihenfolge und in</w:t>
      </w:r>
      <w:r w:rsidRPr="008D0EA2">
        <w:t>nerhalb der Kommentierung durc</w:t>
      </w:r>
      <w:r w:rsidR="00021B22" w:rsidRPr="008D0EA2">
        <w:t>h Randnummern eindeutig vorgege</w:t>
      </w:r>
      <w:r w:rsidRPr="008D0EA2">
        <w:t>ben ist, ist ausnahmsweise auf die Angabe der Seitenzahlen zu ver</w:t>
      </w:r>
      <w:r w:rsidR="00021B22" w:rsidRPr="008D0EA2">
        <w:t>zichten. Wenn ein Kom</w:t>
      </w:r>
      <w:r w:rsidRPr="008D0EA2">
        <w:t>mentar al</w:t>
      </w:r>
      <w:r w:rsidR="00021B22" w:rsidRPr="008D0EA2">
        <w:t>s Ergänzungswerk fortlaufend er</w:t>
      </w:r>
      <w:r w:rsidRPr="008D0EA2">
        <w:t>neuert wird, kennzeichnet man dies durch den Hinweis «Loseblatt» an der Stelle, an der sonst die Jahreszahl erscheinen würde</w:t>
      </w:r>
      <w:r w:rsidR="001A25CA">
        <w:t xml:space="preserve">. </w:t>
      </w:r>
    </w:p>
    <w:p w14:paraId="42794FAE" w14:textId="0D88E5FB" w:rsidR="001A25CA" w:rsidRPr="001A25CA" w:rsidRDefault="001A25CA" w:rsidP="001A25CA">
      <w:r>
        <w:t xml:space="preserve">Bitte beachten Sie, dass bei Kommentaren in den Fussnoten eine Kurzversion verwendet wird. </w:t>
      </w:r>
    </w:p>
    <w:p w14:paraId="39E4DDA1" w14:textId="68AAB944" w:rsidR="00833812" w:rsidRDefault="00833812" w:rsidP="003F4F8E">
      <w:pPr>
        <w:pStyle w:val="Eingerckt"/>
      </w:pPr>
      <w:r w:rsidRPr="007A2A71">
        <w:rPr>
          <w:smallCaps/>
        </w:rPr>
        <w:t>Berger Bernhard</w:t>
      </w:r>
      <w:r w:rsidRPr="007A2A71">
        <w:t xml:space="preserve">, </w:t>
      </w:r>
      <w:r>
        <w:t xml:space="preserve">Art. 4 ZPO, in: </w:t>
      </w:r>
      <w:r w:rsidRPr="007A2A71">
        <w:t xml:space="preserve">Heinz Hausheer/Hans Peter Walter </w:t>
      </w:r>
      <w:r>
        <w:t xml:space="preserve">(Hrsg.), Berner </w:t>
      </w:r>
      <w:r w:rsidRPr="007A2A71">
        <w:t>Kommentar zum schweizerischen Privatrecht</w:t>
      </w:r>
      <w:r>
        <w:t>.</w:t>
      </w:r>
      <w:r w:rsidRPr="007A2A71">
        <w:t xml:space="preserve"> Zivilprozessordnung. Art. 1–149 ZPO, Bern 2012.</w:t>
      </w:r>
    </w:p>
    <w:p w14:paraId="2641C1B1" w14:textId="0D174F04" w:rsidR="00833812" w:rsidRPr="001A25CA" w:rsidRDefault="00833812" w:rsidP="003F4F8E">
      <w:pPr>
        <w:pStyle w:val="Eingerckt"/>
        <w:rPr>
          <w:szCs w:val="24"/>
        </w:rPr>
      </w:pPr>
      <w:r w:rsidRPr="002E1450">
        <w:rPr>
          <w:smallCaps/>
        </w:rPr>
        <w:t>Weber Rolf H./Emmenegger Susan</w:t>
      </w:r>
      <w:r>
        <w:t>, Bern Kommentar zum schweizerischen Privatrecht. Obligationenrecht. Allgemeine Bestimmungen. Die Folgen der Nichterfüllung. Art. 97–109 OR, hrsg. von Regina Aebi-Müller/Christoph Müller, Bern 2020.</w:t>
      </w:r>
    </w:p>
    <w:p w14:paraId="18AAA173" w14:textId="6A22B6A0" w:rsidR="001A25CA" w:rsidRDefault="00443D28" w:rsidP="005E54E6">
      <w:pPr>
        <w:pStyle w:val="Eingerckt"/>
        <w:spacing w:after="480"/>
      </w:pPr>
      <w:r>
        <w:rPr>
          <w:smallCaps/>
        </w:rPr>
        <w:lastRenderedPageBreak/>
        <w:t>Oser</w:t>
      </w:r>
      <w:r w:rsidR="00560D83" w:rsidRPr="00560D83">
        <w:rPr>
          <w:smallCaps/>
        </w:rPr>
        <w:t xml:space="preserve"> </w:t>
      </w:r>
      <w:r w:rsidR="00560D83">
        <w:rPr>
          <w:smallCaps/>
        </w:rPr>
        <w:t>David</w:t>
      </w:r>
      <w:r>
        <w:rPr>
          <w:smallCaps/>
        </w:rPr>
        <w:t>/Weber</w:t>
      </w:r>
      <w:r w:rsidR="00560D83" w:rsidRPr="00560D83">
        <w:rPr>
          <w:smallCaps/>
        </w:rPr>
        <w:t xml:space="preserve"> </w:t>
      </w:r>
      <w:r w:rsidR="00560D83">
        <w:rPr>
          <w:smallCaps/>
        </w:rPr>
        <w:t>Rolf H.</w:t>
      </w:r>
      <w:r>
        <w:rPr>
          <w:smallCaps/>
        </w:rPr>
        <w:t xml:space="preserve">, </w:t>
      </w:r>
      <w:r w:rsidR="002B6EC9" w:rsidRPr="008D0EA2">
        <w:t xml:space="preserve">Art. </w:t>
      </w:r>
      <w:r>
        <w:t xml:space="preserve">420 OR, in: </w:t>
      </w:r>
      <w:r w:rsidR="001A25CA" w:rsidRPr="007561FE">
        <w:t>Corinne Widmer Lüchinger/David Oser</w:t>
      </w:r>
      <w:r>
        <w:t xml:space="preserve"> (Hrsg.), Basler Kommentar</w:t>
      </w:r>
      <w:r w:rsidR="00F90BE9">
        <w:t>.</w:t>
      </w:r>
      <w:r>
        <w:t xml:space="preserve"> </w:t>
      </w:r>
      <w:r w:rsidRPr="007561FE">
        <w:t>Obligationenrecht I</w:t>
      </w:r>
      <w:r w:rsidR="002E22FE">
        <w:t>.</w:t>
      </w:r>
      <w:r w:rsidRPr="007561FE">
        <w:t xml:space="preserve"> Art. 1–529 OR, </w:t>
      </w:r>
      <w:r w:rsidR="001A25CA" w:rsidRPr="007561FE">
        <w:t>7. Aufl.,</w:t>
      </w:r>
      <w:r w:rsidR="001A25CA">
        <w:t xml:space="preserve"> Basel 2019</w:t>
      </w:r>
      <w:r>
        <w:t>.</w:t>
      </w:r>
    </w:p>
    <w:p w14:paraId="32EFAB63" w14:textId="77777777" w:rsidR="002B6EC9" w:rsidRPr="008D0EA2" w:rsidRDefault="002B6EC9" w:rsidP="00F51BE4">
      <w:pPr>
        <w:pStyle w:val="berschrift3"/>
        <w:spacing w:line="288" w:lineRule="auto"/>
        <w:contextualSpacing/>
        <w:rPr>
          <w:rFonts w:ascii="Times New Roman" w:hAnsi="Times New Roman" w:cs="Times New Roman"/>
          <w:sz w:val="24"/>
          <w:szCs w:val="24"/>
        </w:rPr>
      </w:pPr>
      <w:bookmarkStart w:id="23" w:name="_Toc97043974"/>
      <w:r w:rsidRPr="008D0EA2">
        <w:rPr>
          <w:rFonts w:ascii="Times New Roman" w:hAnsi="Times New Roman" w:cs="Times New Roman"/>
          <w:sz w:val="24"/>
          <w:szCs w:val="24"/>
        </w:rPr>
        <w:t>e)</w:t>
      </w:r>
      <w:r w:rsidRPr="008D0EA2">
        <w:rPr>
          <w:rFonts w:ascii="Times New Roman" w:hAnsi="Times New Roman" w:cs="Times New Roman"/>
          <w:sz w:val="24"/>
          <w:szCs w:val="24"/>
        </w:rPr>
        <w:tab/>
        <w:t>Internetdokumente</w:t>
      </w:r>
      <w:bookmarkEnd w:id="23"/>
    </w:p>
    <w:p w14:paraId="113F4D70" w14:textId="70602569" w:rsidR="009C3EC1" w:rsidRPr="00A20494" w:rsidRDefault="002B6EC9" w:rsidP="00A20494">
      <w:r w:rsidRPr="008D0EA2">
        <w:t>Wenn Publikationen ausschliesslich im Inter</w:t>
      </w:r>
      <w:r w:rsidR="00021B22" w:rsidRPr="008D0EA2">
        <w:t>net erscheinen, dann ist es aus</w:t>
      </w:r>
      <w:r w:rsidRPr="008D0EA2">
        <w:t>nahmsweise gestattet, diese nach der Internetquelle zu zitieren. Ansonsten gilt die Regel, dass immer die Druckfassung als verbindliche Fassung konsultiert und zitiert werden muss. Falls die Druckfassung eines Beitrags nur schwer zugänglich ist, zitiert man die Druckfassung und fügt an «abrufbar unter». Internetdokumente sind mit der vollständigen URL, aber ohne «http://»</w:t>
      </w:r>
      <w:r w:rsidR="000F442D">
        <w:t xml:space="preserve"> oder «https://»</w:t>
      </w:r>
      <w:r w:rsidRPr="008D0EA2">
        <w:t xml:space="preserve"> anzugeben:</w:t>
      </w:r>
    </w:p>
    <w:p w14:paraId="1097E898" w14:textId="4A8EBD3B" w:rsidR="00EF0CF0" w:rsidRPr="005E54E6" w:rsidRDefault="00AD1FFB" w:rsidP="005E54E6">
      <w:pPr>
        <w:pStyle w:val="Eingerckt"/>
        <w:suppressAutoHyphens/>
        <w:spacing w:after="480"/>
        <w:rPr>
          <w:lang w:val="en-US"/>
        </w:rPr>
      </w:pPr>
      <w:r w:rsidRPr="00E564A4">
        <w:rPr>
          <w:smallCaps/>
        </w:rPr>
        <w:t>FATF – Financial</w:t>
      </w:r>
      <w:r>
        <w:rPr>
          <w:smallCaps/>
        </w:rPr>
        <w:t xml:space="preserve"> Action Task Force</w:t>
      </w:r>
      <w:r>
        <w:t>, International Standards on Combating Money Laundering and the Financing of Terrorism &amp; Proliferation. The FA</w:t>
      </w:r>
      <w:r w:rsidR="00A87058">
        <w:t>T</w:t>
      </w:r>
      <w:r>
        <w:t>F Recommendations. Updated October 2021, abrufbar unter: &lt;</w:t>
      </w:r>
      <w:r w:rsidRPr="00EF755D">
        <w:t>www.fatf</w:t>
      </w:r>
      <w:r w:rsidR="00AE4748">
        <w:t>-</w:t>
      </w:r>
      <w:r w:rsidRPr="00EF755D">
        <w:t>gafi.org/media/fatf/documents/recommendations/pdfs/</w:t>
      </w:r>
      <w:r w:rsidR="00AE4748">
        <w:br/>
      </w:r>
      <w:r w:rsidRPr="00EF755D">
        <w:t>FATF%20Recommendations%202012.pdf</w:t>
      </w:r>
      <w:r>
        <w:t>&gt;.</w:t>
      </w:r>
    </w:p>
    <w:p w14:paraId="023806E2" w14:textId="059CAE48" w:rsidR="009C3EC1" w:rsidRPr="008D0EA2" w:rsidRDefault="002B6EC9" w:rsidP="00F51BE4">
      <w:pPr>
        <w:spacing w:before="120" w:line="288" w:lineRule="auto"/>
        <w:contextualSpacing/>
        <w:rPr>
          <w:rFonts w:cs="Times New Roman"/>
          <w:szCs w:val="24"/>
        </w:rPr>
      </w:pPr>
      <w:r w:rsidRPr="008D0EA2">
        <w:rPr>
          <w:rFonts w:cs="Times New Roman"/>
          <w:szCs w:val="24"/>
        </w:rPr>
        <w:t xml:space="preserve">Bei langen URLs kann die Hauptseite mit dem entsprechenden Link angegeben werden: </w:t>
      </w:r>
    </w:p>
    <w:p w14:paraId="760A6473" w14:textId="03A3655B" w:rsidR="009C3EC1" w:rsidRPr="008D0EA2" w:rsidRDefault="002B6EC9" w:rsidP="00B82273">
      <w:pPr>
        <w:pStyle w:val="Eingerckt"/>
        <w:suppressAutoHyphens/>
        <w:spacing w:after="480"/>
      </w:pPr>
      <w:proofErr w:type="gramStart"/>
      <w:r w:rsidRPr="008D0EA2">
        <w:rPr>
          <w:smallCaps/>
        </w:rPr>
        <w:t>Moody’s</w:t>
      </w:r>
      <w:proofErr w:type="gramEnd"/>
      <w:r w:rsidRPr="008D0EA2">
        <w:rPr>
          <w:smallCaps/>
        </w:rPr>
        <w:t xml:space="preserve"> Corporation</w:t>
      </w:r>
      <w:r w:rsidRPr="008D0EA2">
        <w:t xml:space="preserve">, Aktuelle Ratingdefinitionen, abrufbar unter: &lt;www.moodys.de&gt;, Wir über uns, Ratingdefinitionen. </w:t>
      </w:r>
      <w:r w:rsidR="00034C2E">
        <w:br/>
      </w:r>
      <w:r w:rsidRPr="008D0EA2">
        <w:t>[statt:</w:t>
      </w:r>
      <w:r w:rsidR="00034C2E">
        <w:t xml:space="preserve"> </w:t>
      </w:r>
      <w:r w:rsidRPr="008D0EA2">
        <w:t>&lt;www.moodys.de/mdcsPage.aspx?template=ratingdefinitions&amp;</w:t>
      </w:r>
      <w:r w:rsidR="00034C2E">
        <w:br/>
      </w:r>
      <w:r w:rsidRPr="008D0EA2">
        <w:t>mdcsId=4&gt;].</w:t>
      </w:r>
    </w:p>
    <w:p w14:paraId="07BC89D7" w14:textId="7A13DE66" w:rsidR="002B6EC9" w:rsidRDefault="002B6EC9" w:rsidP="00757EBF">
      <w:pPr>
        <w:spacing w:after="480"/>
      </w:pPr>
      <w:r w:rsidRPr="008D0EA2">
        <w:t>Werden Internetseiten zitiert, ist al</w:t>
      </w:r>
      <w:r w:rsidR="009C3EC1" w:rsidRPr="008D0EA2">
        <w:t>s Vorspann im Literaturverzeich</w:t>
      </w:r>
      <w:r w:rsidRPr="008D0EA2">
        <w:t>nis/Materialienverzeichnis den folgenden Hinweis einmal anzubringen: «Stand sämtlicher Internet-Referenzen in diesem Beitrag ist der [Datum]».</w:t>
      </w:r>
    </w:p>
    <w:p w14:paraId="6747F4A6" w14:textId="5FAC3283" w:rsidR="002F6B8F" w:rsidRDefault="002F6B8F" w:rsidP="002F6B8F">
      <w:pPr>
        <w:pStyle w:val="berschrift3"/>
      </w:pPr>
      <w:bookmarkStart w:id="24" w:name="_Toc97043975"/>
      <w:r>
        <w:t>d</w:t>
      </w:r>
      <w:r w:rsidRPr="008D0EA2">
        <w:t>)</w:t>
      </w:r>
      <w:r w:rsidRPr="008D0EA2">
        <w:tab/>
      </w:r>
      <w:r>
        <w:t>Sonderfall: Organisationen</w:t>
      </w:r>
      <w:r w:rsidR="00207EE9">
        <w:t xml:space="preserve"> und Gremien</w:t>
      </w:r>
      <w:bookmarkEnd w:id="24"/>
    </w:p>
    <w:p w14:paraId="3919D7E8" w14:textId="34812296" w:rsidR="002F6B8F" w:rsidRDefault="002F6B8F" w:rsidP="002F6B8F">
      <w:r>
        <w:t xml:space="preserve">Häufig werden für Organisationen </w:t>
      </w:r>
      <w:r w:rsidR="00207EE9">
        <w:t xml:space="preserve">und Gremien </w:t>
      </w:r>
      <w:r>
        <w:t xml:space="preserve">die Abkürzungen verwendet: </w:t>
      </w:r>
      <w:r w:rsidR="00207EE9">
        <w:t xml:space="preserve">SBVg für die Schweizerische Bankiervereinigung, FATF für die Financial Action Task Force (on Money Laundering). Zu nennen sind hier auch die </w:t>
      </w:r>
      <w:r>
        <w:t>OECD für die Organisation for International Co-operation and Development</w:t>
      </w:r>
      <w:r w:rsidR="00C9715D">
        <w:t xml:space="preserve"> und die</w:t>
      </w:r>
      <w:r>
        <w:t xml:space="preserve"> UNO für United Nations </w:t>
      </w:r>
      <w:r>
        <w:lastRenderedPageBreak/>
        <w:t>Organisation</w:t>
      </w:r>
      <w:r w:rsidR="00C9715D">
        <w:t xml:space="preserve">. Die beiden letzterwähnten sind allerdings internationale Organisationen im Sinne des Völkerrechts und wären deshalb im Materialienverzeichnis aufzuführen (siehe dort den Punkt </w:t>
      </w:r>
      <w:r w:rsidR="00F240FD">
        <w:t>«</w:t>
      </w:r>
      <w:r w:rsidR="00C9715D">
        <w:t>Inhalt</w:t>
      </w:r>
      <w:r w:rsidR="00F240FD">
        <w:t>»</w:t>
      </w:r>
      <w:r w:rsidR="00C9715D">
        <w:t xml:space="preserve">). Da diese Organisationen meist unter ihrem Kürzel bekannt sind, empfiehlt es sich, </w:t>
      </w:r>
      <w:r>
        <w:t>sie mit der Abkürzung im Literaturverzeichnis zu zitieren und mit einem Bindestrich die vollständige Angabe zu ergänzen. Also:</w:t>
      </w:r>
    </w:p>
    <w:p w14:paraId="0E63CC9C" w14:textId="6832F463" w:rsidR="00757EBF" w:rsidRPr="002F6B8F" w:rsidRDefault="00C9715D" w:rsidP="00757EBF">
      <w:pPr>
        <w:pStyle w:val="Eingerckt"/>
        <w:spacing w:after="480"/>
      </w:pPr>
      <w:r>
        <w:rPr>
          <w:smallCaps/>
        </w:rPr>
        <w:t>BCBS – Basel Committee on Banking Supervision</w:t>
      </w:r>
      <w:r>
        <w:t>, Corporate Governance Principles for Banks. July 2015, abrufbar unter: &lt;</w:t>
      </w:r>
      <w:r w:rsidRPr="00C9715D">
        <w:t>www.bis.org/bcbs/publ/d328.htm</w:t>
      </w:r>
      <w:r>
        <w:t>&gt;.</w:t>
      </w:r>
    </w:p>
    <w:p w14:paraId="6700AC88" w14:textId="77777777" w:rsidR="002B6EC9" w:rsidRPr="00D57D51" w:rsidRDefault="002B6EC9" w:rsidP="001738A0">
      <w:pPr>
        <w:pStyle w:val="berschrift1"/>
        <w:numPr>
          <w:ilvl w:val="0"/>
          <w:numId w:val="8"/>
        </w:numPr>
        <w:spacing w:line="288" w:lineRule="auto"/>
        <w:contextualSpacing/>
        <w:rPr>
          <w:rFonts w:ascii="Times New Roman" w:hAnsi="Times New Roman" w:cs="Times New Roman"/>
        </w:rPr>
      </w:pPr>
      <w:bookmarkStart w:id="25" w:name="_Toc97043976"/>
      <w:r w:rsidRPr="00D57D51">
        <w:rPr>
          <w:rFonts w:ascii="Times New Roman" w:hAnsi="Times New Roman" w:cs="Times New Roman"/>
        </w:rPr>
        <w:t>Aufbau des Materialienverzeichnisses</w:t>
      </w:r>
      <w:bookmarkEnd w:id="25"/>
    </w:p>
    <w:p w14:paraId="1D0DDCC5" w14:textId="0FC3592D" w:rsidR="002B6EC9" w:rsidRPr="008D0EA2" w:rsidRDefault="002B6EC9" w:rsidP="00493667">
      <w:r w:rsidRPr="008D0EA2">
        <w:t>Andere zitierte Quellen als Literatur</w:t>
      </w:r>
      <w:r w:rsidR="008E50EC">
        <w:t xml:space="preserve"> </w:t>
      </w:r>
      <w:r w:rsidRPr="008D0EA2">
        <w:t>sind in das Materialienverzeichnis aufzunehmen</w:t>
      </w:r>
      <w:r w:rsidR="00207EE9">
        <w:t xml:space="preserve"> (siehe dazu den Punkt </w:t>
      </w:r>
      <w:r w:rsidR="00F240FD">
        <w:t>«</w:t>
      </w:r>
      <w:r w:rsidR="00207EE9">
        <w:t>Inhalt</w:t>
      </w:r>
      <w:r w:rsidR="00F240FD">
        <w:t>»</w:t>
      </w:r>
      <w:r w:rsidR="00207EE9">
        <w:t>)</w:t>
      </w:r>
      <w:r w:rsidRPr="008D0EA2">
        <w:t xml:space="preserve">. </w:t>
      </w:r>
    </w:p>
    <w:p w14:paraId="37DB2B90" w14:textId="77777777" w:rsidR="002B6EC9" w:rsidRPr="00D57D51" w:rsidRDefault="002B6EC9" w:rsidP="00F51BE4">
      <w:pPr>
        <w:pStyle w:val="berschrift2"/>
        <w:spacing w:line="288" w:lineRule="auto"/>
        <w:contextualSpacing/>
        <w:rPr>
          <w:rFonts w:ascii="Times New Roman" w:hAnsi="Times New Roman" w:cs="Times New Roman"/>
        </w:rPr>
      </w:pPr>
      <w:bookmarkStart w:id="26" w:name="_Toc97043977"/>
      <w:r w:rsidRPr="00D57D51">
        <w:rPr>
          <w:rFonts w:ascii="Times New Roman" w:hAnsi="Times New Roman" w:cs="Times New Roman"/>
        </w:rPr>
        <w:t>1.</w:t>
      </w:r>
      <w:r w:rsidRPr="00D57D51">
        <w:rPr>
          <w:rFonts w:ascii="Times New Roman" w:hAnsi="Times New Roman" w:cs="Times New Roman"/>
        </w:rPr>
        <w:tab/>
        <w:t>Form</w:t>
      </w:r>
      <w:bookmarkEnd w:id="26"/>
    </w:p>
    <w:p w14:paraId="6E22FD6A" w14:textId="54D99B73" w:rsidR="002B6EC9" w:rsidRPr="008D0EA2" w:rsidRDefault="002B6EC9" w:rsidP="00A20494">
      <w:r w:rsidRPr="008D0EA2">
        <w:t xml:space="preserve">Die Ausführungen in Ziff. </w:t>
      </w:r>
      <w:proofErr w:type="gramStart"/>
      <w:r w:rsidR="00B64060">
        <w:t>IV.</w:t>
      </w:r>
      <w:r w:rsidRPr="008D0EA2">
        <w:t>/</w:t>
      </w:r>
      <w:proofErr w:type="gramEnd"/>
      <w:r w:rsidRPr="008D0EA2">
        <w:t>1. gelten sinngemäss.</w:t>
      </w:r>
    </w:p>
    <w:p w14:paraId="4F60BDFF" w14:textId="77777777" w:rsidR="002B6EC9" w:rsidRPr="00D57D51" w:rsidRDefault="002B6EC9" w:rsidP="00F51BE4">
      <w:pPr>
        <w:pStyle w:val="berschrift2"/>
        <w:spacing w:line="288" w:lineRule="auto"/>
        <w:contextualSpacing/>
        <w:rPr>
          <w:rFonts w:ascii="Times New Roman" w:hAnsi="Times New Roman" w:cs="Times New Roman"/>
        </w:rPr>
      </w:pPr>
      <w:bookmarkStart w:id="27" w:name="_Toc97043978"/>
      <w:r w:rsidRPr="00D57D51">
        <w:rPr>
          <w:rFonts w:ascii="Times New Roman" w:hAnsi="Times New Roman" w:cs="Times New Roman"/>
        </w:rPr>
        <w:t>2.</w:t>
      </w:r>
      <w:r w:rsidRPr="00D57D51">
        <w:rPr>
          <w:rFonts w:ascii="Times New Roman" w:hAnsi="Times New Roman" w:cs="Times New Roman"/>
        </w:rPr>
        <w:tab/>
        <w:t>Inhalt</w:t>
      </w:r>
      <w:bookmarkEnd w:id="27"/>
    </w:p>
    <w:p w14:paraId="115178EA" w14:textId="36EA3AB9" w:rsidR="00207EE9" w:rsidRDefault="00207EE9" w:rsidP="00207EE9">
      <w:r>
        <w:t>In das Material</w:t>
      </w:r>
      <w:r w:rsidR="00F112C8">
        <w:t>i</w:t>
      </w:r>
      <w:r>
        <w:t xml:space="preserve">enverzeichnis gehören </w:t>
      </w:r>
      <w:r>
        <w:rPr>
          <w:u w:val="single"/>
        </w:rPr>
        <w:t>amtliche Texte</w:t>
      </w:r>
      <w:r>
        <w:t xml:space="preserve">. Dazu zählen insbesondere bundesrätliche </w:t>
      </w:r>
      <w:r w:rsidRPr="008D0EA2">
        <w:t>Botschaften und Gesetzesentwürfe, Berichte und Erläuterungen. In</w:t>
      </w:r>
      <w:r>
        <w:t xml:space="preserve"> das</w:t>
      </w:r>
      <w:r w:rsidRPr="008D0EA2">
        <w:t xml:space="preserve"> Materialienverzeichnis gehören weiter Wortprotokolle des Nationalrats und Ständerats sowie verschiedene </w:t>
      </w:r>
      <w:r w:rsidRPr="008E50EC">
        <w:t>behördliche</w:t>
      </w:r>
      <w:r w:rsidRPr="008D0EA2">
        <w:t xml:space="preserve"> Publikationen</w:t>
      </w:r>
      <w:r>
        <w:t>, etwa solche des Eidgenössischen Finanzdepartements (EFD) oder des Staatssekretariats für Wirtschaft (Seco)</w:t>
      </w:r>
      <w:r w:rsidRPr="008D0EA2">
        <w:t>.</w:t>
      </w:r>
    </w:p>
    <w:p w14:paraId="439BA32A" w14:textId="13D6AFF5" w:rsidR="00207EE9" w:rsidRDefault="00207EE9" w:rsidP="00493667">
      <w:pPr>
        <w:pStyle w:val="StandardE"/>
      </w:pPr>
      <w:r>
        <w:t>Weiter gehören dazu die amtlichen Texte ausländischer Staaten oder Staatengemeinschaften wie die Europäische Union.</w:t>
      </w:r>
    </w:p>
    <w:p w14:paraId="3BAA5A28" w14:textId="5555217A" w:rsidR="00207EE9" w:rsidRPr="00DB6606" w:rsidRDefault="00207EE9" w:rsidP="00DB6606">
      <w:pPr>
        <w:pStyle w:val="StandardE"/>
      </w:pPr>
      <w:r>
        <w:t xml:space="preserve">Sodann gehören auch die Publikationen von internationalen Organisationen in das Materialienverzeichnis. Streng genommen sollte es sich um internationale Organisationen im Sinne des Völkerrechts handeln – also solche, die durch einen völkerrechtlichen Vertrag begründet wurden. Dazu gehören unter anderem die United Nations Organisation (UNO), der Internationale Währungsfonds (IWF/IMF) und die OECD (Organisation of International Co-operation and Development). Es existieren allerdings zahlreiche sehr einflussreiche Gremien, die </w:t>
      </w:r>
      <w:r w:rsidRPr="00493667">
        <w:rPr>
          <w:i/>
          <w:iCs/>
        </w:rPr>
        <w:t>nicht</w:t>
      </w:r>
      <w:r>
        <w:t xml:space="preserve"> internationale Organisationen im Sinne des Völkerrechts sind. Dazu gehören unter anderem das Basel Committee for Banking Supervision (BCBS) oder die Financial Action Task Force (FATF). Solche </w:t>
      </w:r>
      <w:r>
        <w:lastRenderedPageBreak/>
        <w:t>Organisationen können entweder im Literaturverzeichnis oder im Materialienverzeichnis aufgeführt werden. Hingegen gehören Publikationen von offensichtlich privaten Organisationen, wie etwa die Branchenverbände, nicht in das Material</w:t>
      </w:r>
      <w:r w:rsidR="00F112C8">
        <w:t>i</w:t>
      </w:r>
      <w:r>
        <w:t>enverzeichnis. Das trifft unter anderem für die Schweizerische Bankiervereinigung (SBVg) oder die AMAS (Asset Management Association Switzerland) zu, oder auch für Organisationen wie den WWF.</w:t>
      </w:r>
    </w:p>
    <w:p w14:paraId="4D65CE75" w14:textId="3B2D62BE" w:rsidR="002B6EC9" w:rsidRPr="008D0EA2" w:rsidRDefault="00207EE9" w:rsidP="00757EBF">
      <w:pPr>
        <w:spacing w:after="480" w:line="288" w:lineRule="auto"/>
        <w:contextualSpacing/>
        <w:rPr>
          <w:rFonts w:cs="Times New Roman"/>
          <w:szCs w:val="24"/>
        </w:rPr>
      </w:pPr>
      <w:r>
        <w:rPr>
          <w:rFonts w:cs="Times New Roman"/>
          <w:szCs w:val="24"/>
        </w:rPr>
        <w:t xml:space="preserve">Im Übrigen gelten die </w:t>
      </w:r>
      <w:r w:rsidR="002B6EC9" w:rsidRPr="008D0EA2">
        <w:rPr>
          <w:rFonts w:cs="Times New Roman"/>
          <w:szCs w:val="24"/>
        </w:rPr>
        <w:t xml:space="preserve">Ausführungen in Ziff. </w:t>
      </w:r>
      <w:proofErr w:type="gramStart"/>
      <w:r w:rsidR="00805D8A">
        <w:rPr>
          <w:rFonts w:cs="Times New Roman"/>
          <w:szCs w:val="24"/>
        </w:rPr>
        <w:t>IV.</w:t>
      </w:r>
      <w:r w:rsidR="002B6EC9" w:rsidRPr="008D0EA2">
        <w:rPr>
          <w:rFonts w:cs="Times New Roman"/>
          <w:szCs w:val="24"/>
        </w:rPr>
        <w:t>/</w:t>
      </w:r>
      <w:proofErr w:type="gramEnd"/>
      <w:r w:rsidR="002B6EC9" w:rsidRPr="008D0EA2">
        <w:rPr>
          <w:rFonts w:cs="Times New Roman"/>
          <w:szCs w:val="24"/>
        </w:rPr>
        <w:t xml:space="preserve">2. sinngemäss. </w:t>
      </w:r>
    </w:p>
    <w:p w14:paraId="55AE2AC8" w14:textId="77777777" w:rsidR="002B6EC9" w:rsidRPr="00D57D51" w:rsidRDefault="002B6EC9" w:rsidP="00F51BE4">
      <w:pPr>
        <w:pStyle w:val="berschrift2"/>
        <w:spacing w:line="288" w:lineRule="auto"/>
        <w:contextualSpacing/>
        <w:rPr>
          <w:rFonts w:ascii="Times New Roman" w:hAnsi="Times New Roman" w:cs="Times New Roman"/>
        </w:rPr>
      </w:pPr>
      <w:bookmarkStart w:id="28" w:name="_Toc97043979"/>
      <w:r w:rsidRPr="00D57D51">
        <w:rPr>
          <w:rFonts w:ascii="Times New Roman" w:hAnsi="Times New Roman" w:cs="Times New Roman"/>
        </w:rPr>
        <w:t>3.</w:t>
      </w:r>
      <w:r w:rsidRPr="00D57D51">
        <w:rPr>
          <w:rFonts w:ascii="Times New Roman" w:hAnsi="Times New Roman" w:cs="Times New Roman"/>
        </w:rPr>
        <w:tab/>
        <w:t>Einzelfälle</w:t>
      </w:r>
      <w:bookmarkEnd w:id="28"/>
    </w:p>
    <w:p w14:paraId="5A2C609E" w14:textId="50A76EDE" w:rsidR="00C3149C" w:rsidRPr="008D0EA2" w:rsidRDefault="002B6EC9" w:rsidP="00493667">
      <w:r w:rsidRPr="008D0EA2">
        <w:t xml:space="preserve">Zitate aus dem </w:t>
      </w:r>
      <w:r w:rsidRPr="008D0EA2">
        <w:rPr>
          <w:b/>
        </w:rPr>
        <w:t>Bundesblatt</w:t>
      </w:r>
      <w:r w:rsidRPr="008D0EA2">
        <w:t xml:space="preserve"> (wie Botschaften und Berichte zu Gesetzgebungs</w:t>
      </w:r>
      <w:r w:rsidR="009C3EC1" w:rsidRPr="008D0EA2">
        <w:t>v</w:t>
      </w:r>
      <w:r w:rsidRPr="008D0EA2">
        <w:t>orhaben) werden mit dem vollständigen Titel, Publikationsjahr, Seitenzahl (mit dem Zusatz «S.») und Teil als römische Zahl (für Jahrgänge bis und mit 1997) angegeben:</w:t>
      </w:r>
    </w:p>
    <w:p w14:paraId="384B5BDD" w14:textId="73674253" w:rsidR="008F0CE1" w:rsidRPr="00A20494" w:rsidRDefault="008F0CE1" w:rsidP="00DB6606">
      <w:pPr>
        <w:pStyle w:val="Eingerckt"/>
        <w:spacing w:after="480"/>
      </w:pPr>
      <w:r w:rsidRPr="008F0CE1">
        <w:rPr>
          <w:smallCaps/>
        </w:rPr>
        <w:t>Botschaft</w:t>
      </w:r>
      <w:r w:rsidRPr="008F0CE1">
        <w:t xml:space="preserve"> zum Bundesgesetz zur Anpassung des Bundesrechts an Entwicklungen der Technik verteilter elektronischer Register vom 27. November 2019, BBl 2020, S. 233</w:t>
      </w:r>
      <w:r w:rsidR="00670891">
        <w:t>–</w:t>
      </w:r>
      <w:r w:rsidRPr="008F0CE1">
        <w:t>328.</w:t>
      </w:r>
    </w:p>
    <w:p w14:paraId="568B916A" w14:textId="45C521EC" w:rsidR="009C3EC1" w:rsidRPr="00A20494" w:rsidRDefault="002B6EC9" w:rsidP="00A20494">
      <w:r w:rsidRPr="008D0EA2">
        <w:rPr>
          <w:b/>
        </w:rPr>
        <w:t>Die Protokolle der parlamentarischen Beratungen</w:t>
      </w:r>
      <w:r w:rsidRPr="008D0EA2">
        <w:t xml:space="preserve"> werden mit Angabe des Organs und Jahres sowie der Session und Sitzungsnummer (zum Zweck der Auffindbarkeit der Fundstelle) zitiert:</w:t>
      </w:r>
    </w:p>
    <w:p w14:paraId="6450D5CC" w14:textId="0AC61105" w:rsidR="009C3EC1" w:rsidRPr="00E73AAF" w:rsidRDefault="002B6EC9" w:rsidP="00DB6606">
      <w:pPr>
        <w:pStyle w:val="Eingerckt"/>
        <w:spacing w:after="480"/>
      </w:pPr>
      <w:r w:rsidRPr="008D0EA2">
        <w:rPr>
          <w:smallCaps/>
        </w:rPr>
        <w:t>Amtliches Bulletin des Nationalrats</w:t>
      </w:r>
      <w:r w:rsidRPr="008D0EA2">
        <w:t>, Frühjahrssession 20</w:t>
      </w:r>
      <w:r w:rsidR="00C3149C" w:rsidRPr="008D0EA2">
        <w:t>06, dritte Sitzung sowie Sommer</w:t>
      </w:r>
      <w:r w:rsidRPr="008D0EA2">
        <w:t>session 2006, fünfte Sitzung.</w:t>
      </w:r>
    </w:p>
    <w:p w14:paraId="4940848D" w14:textId="172F1119" w:rsidR="009C3EC1" w:rsidRPr="00443D28" w:rsidRDefault="002B6EC9" w:rsidP="00443D28">
      <w:r w:rsidRPr="008D0EA2">
        <w:t xml:space="preserve">Bei </w:t>
      </w:r>
      <w:r w:rsidRPr="008D0EA2">
        <w:rPr>
          <w:b/>
        </w:rPr>
        <w:t>behördlichen Publikationen</w:t>
      </w:r>
      <w:r w:rsidRPr="008D0EA2">
        <w:t xml:space="preserve"> sind Urheber der Anordnung, Anordnungstyp (Rundschreiben, Wegleitung, etc.), Datum und offizielle Abkürzung (soweit vorhanden) in das Materialienverzeichnis aufzunehmen</w:t>
      </w:r>
      <w:r w:rsidR="001D03BC">
        <w:t xml:space="preserve">. </w:t>
      </w:r>
      <w:r w:rsidR="00060AF5">
        <w:t>Sofern</w:t>
      </w:r>
      <w:r w:rsidR="001D03BC">
        <w:t xml:space="preserve"> offizielle Abkürzungen für den Urheber existieren, kann der Eintrag entweder unter </w:t>
      </w:r>
      <w:r w:rsidR="00060AF5">
        <w:t xml:space="preserve">dem </w:t>
      </w:r>
      <w:r w:rsidR="001D03BC">
        <w:t>vollständigen Namen oder unter der offiziellen Abkürzung aufgenommen werden (es muss jedoch auf Einheitlichkeit geachtet werden)</w:t>
      </w:r>
      <w:r w:rsidRPr="008D0EA2">
        <w:t>:</w:t>
      </w:r>
    </w:p>
    <w:p w14:paraId="43DF72EB" w14:textId="50ABDD4A" w:rsidR="000F442D" w:rsidRDefault="00C16235" w:rsidP="00FD1D3B">
      <w:pPr>
        <w:pStyle w:val="Eingerckt"/>
        <w:suppressAutoHyphens/>
      </w:pPr>
      <w:r>
        <w:rPr>
          <w:smallCaps/>
        </w:rPr>
        <w:t xml:space="preserve">FINMA – </w:t>
      </w:r>
      <w:r w:rsidR="000016DC" w:rsidRPr="000016DC">
        <w:rPr>
          <w:smallCaps/>
        </w:rPr>
        <w:t>Eidgenössische Finanzmarktaufsicht,</w:t>
      </w:r>
      <w:r w:rsidR="000016DC" w:rsidRPr="000016DC">
        <w:t xml:space="preserve"> Jahresbericht 2020, abrufbar unter &lt;www.finma.ch/de/dokumentation/finma-publikationen/</w:t>
      </w:r>
      <w:r w:rsidR="00FD1D3B">
        <w:br/>
      </w:r>
      <w:r w:rsidR="000016DC" w:rsidRPr="000016DC">
        <w:t>geschaeftsberichte&gt;</w:t>
      </w:r>
      <w:r w:rsidR="00FD1D3B">
        <w:t>.</w:t>
      </w:r>
    </w:p>
    <w:p w14:paraId="220D12C3" w14:textId="6C554033" w:rsidR="002B6EC9" w:rsidRPr="008D0EA2" w:rsidRDefault="002B6EC9" w:rsidP="00E73AAF">
      <w:pPr>
        <w:pStyle w:val="Eingerckt"/>
      </w:pPr>
      <w:r w:rsidRPr="008D0EA2">
        <w:lastRenderedPageBreak/>
        <w:t>FINMA-R</w:t>
      </w:r>
      <w:r w:rsidR="00DF606D">
        <w:t>S</w:t>
      </w:r>
      <w:r w:rsidRPr="008D0EA2">
        <w:t xml:space="preserve">, </w:t>
      </w:r>
      <w:r w:rsidR="006B72A3">
        <w:rPr>
          <w:bCs/>
          <w:szCs w:val="24"/>
        </w:rPr>
        <w:t>Rundschreiben der Eidgenössischen Finanzmarktaufsicht</w:t>
      </w:r>
      <w:r w:rsidR="00DF606D">
        <w:rPr>
          <w:bCs/>
          <w:szCs w:val="24"/>
        </w:rPr>
        <w:t xml:space="preserve"> FINMA</w:t>
      </w:r>
      <w:r w:rsidR="006B72A3">
        <w:rPr>
          <w:bCs/>
          <w:szCs w:val="24"/>
        </w:rPr>
        <w:t>,</w:t>
      </w:r>
      <w:r w:rsidR="006B72A3" w:rsidRPr="008D0EA2">
        <w:t xml:space="preserve"> </w:t>
      </w:r>
      <w:r w:rsidRPr="008D0EA2">
        <w:t xml:space="preserve">abrufbar unter: &lt;www.finma.ch&gt;, </w:t>
      </w:r>
      <w:r w:rsidR="00060AF5">
        <w:t>Dokumentation</w:t>
      </w:r>
      <w:r w:rsidRPr="008D0EA2">
        <w:t>, Rundschreiben.</w:t>
      </w:r>
    </w:p>
    <w:p w14:paraId="7BC5D7E4" w14:textId="77777777" w:rsidR="0062056F" w:rsidRPr="008D0EA2" w:rsidRDefault="0062056F" w:rsidP="00821593">
      <w:pPr>
        <w:pStyle w:val="Eingerckt"/>
        <w:numPr>
          <w:ilvl w:val="0"/>
          <w:numId w:val="19"/>
        </w:numPr>
        <w:spacing w:before="0"/>
        <w:ind w:left="924" w:hanging="357"/>
      </w:pPr>
      <w:r>
        <w:t>FINMA-RS 19/2 vom 20. Juni 2018: Messung, Steuerung, Überwachung und Kontrolle der Zinsrisiken im Bankenbuch.</w:t>
      </w:r>
    </w:p>
    <w:p w14:paraId="07DF59F0" w14:textId="75A7790C" w:rsidR="009C3EC1" w:rsidRPr="00DB6606" w:rsidRDefault="002B6EC9" w:rsidP="00DB6606">
      <w:pPr>
        <w:pStyle w:val="Eingerckt"/>
        <w:numPr>
          <w:ilvl w:val="0"/>
          <w:numId w:val="19"/>
        </w:numPr>
        <w:spacing w:before="0" w:after="480"/>
        <w:ind w:left="924" w:hanging="357"/>
      </w:pPr>
      <w:r w:rsidRPr="008D0EA2">
        <w:t xml:space="preserve">FINMA-RS 11/2 vom </w:t>
      </w:r>
      <w:r w:rsidR="00FD1D3B">
        <w:t>30</w:t>
      </w:r>
      <w:r w:rsidRPr="008D0EA2">
        <w:t xml:space="preserve">. </w:t>
      </w:r>
      <w:r w:rsidR="00FD1D3B">
        <w:t>März</w:t>
      </w:r>
      <w:r w:rsidRPr="008D0EA2">
        <w:t xml:space="preserve"> 2011: Eigenmittelpuffer und Kapitalplanung bei Banken.</w:t>
      </w:r>
    </w:p>
    <w:p w14:paraId="320D4CCE" w14:textId="4A5F08C2" w:rsidR="009C3EC1" w:rsidRPr="008D0EA2" w:rsidRDefault="002B6EC9" w:rsidP="00DB6606">
      <w:pPr>
        <w:rPr>
          <w:rFonts w:cs="Times New Roman"/>
          <w:szCs w:val="24"/>
        </w:rPr>
      </w:pPr>
      <w:r w:rsidRPr="008D0EA2">
        <w:t xml:space="preserve">Bei </w:t>
      </w:r>
      <w:r w:rsidRPr="008D0EA2">
        <w:rPr>
          <w:b/>
        </w:rPr>
        <w:t>Publikationen der Organe der Europäischen Union</w:t>
      </w:r>
      <w:r w:rsidRPr="008D0EA2">
        <w:t xml:space="preserve"> sind Urheber der Publikation, Publikationstyp (z.B. Entschliessung, Mitteilung an die Presse, etc.), vollständiger Titel, Datum und Dokumentennummer/Aktenzeichen (soweit vorhanden) aufzunehmen:</w:t>
      </w:r>
    </w:p>
    <w:p w14:paraId="434856EC" w14:textId="02869A5D" w:rsidR="002B6EC9" w:rsidRPr="008D0EA2" w:rsidRDefault="002B6EC9" w:rsidP="00E73AAF">
      <w:pPr>
        <w:pStyle w:val="Eingerckt"/>
      </w:pPr>
      <w:r w:rsidRPr="008D0EA2">
        <w:rPr>
          <w:smallCaps/>
        </w:rPr>
        <w:t>EU-Kommission</w:t>
      </w:r>
      <w:r w:rsidRPr="008D0EA2">
        <w:t xml:space="preserve">, Grünbuch – Corporate Governance in Finanzinstituten und Vergütungspolitik, 2. Juni 2010, </w:t>
      </w:r>
      <w:proofErr w:type="gramStart"/>
      <w:r w:rsidRPr="008D0EA2">
        <w:t>KOM(</w:t>
      </w:r>
      <w:proofErr w:type="gramEnd"/>
      <w:r w:rsidRPr="008D0EA2">
        <w:t>2</w:t>
      </w:r>
      <w:r w:rsidR="009C3EC1" w:rsidRPr="008D0EA2">
        <w:t xml:space="preserve">010) 284 endg., abrufbar unter: </w:t>
      </w:r>
      <w:r w:rsidR="00D54880">
        <w:t>&lt;</w:t>
      </w:r>
      <w:r w:rsidR="00D54880" w:rsidRPr="00D54880">
        <w:t>op.europa.eu/de/publication-detail/-/publication/1788e830-b050-447c-821</w:t>
      </w:r>
      <w:r w:rsidR="00D54880">
        <w:br/>
      </w:r>
      <w:r w:rsidR="00D54880" w:rsidRPr="00D54880">
        <w:t>4-77ed51b13241/language-de</w:t>
      </w:r>
      <w:r w:rsidR="00D54880">
        <w:t>&gt;.</w:t>
      </w:r>
    </w:p>
    <w:p w14:paraId="0A762A6E" w14:textId="3ADFE014" w:rsidR="00EF0CF0" w:rsidRPr="008D0EA2" w:rsidRDefault="002B6EC9" w:rsidP="00757EBF">
      <w:pPr>
        <w:pStyle w:val="Eingerckt"/>
        <w:suppressAutoHyphens/>
        <w:spacing w:after="480"/>
      </w:pPr>
      <w:r w:rsidRPr="008D0EA2">
        <w:rPr>
          <w:smallCaps/>
        </w:rPr>
        <w:t>Rat der Europäischen Union</w:t>
      </w:r>
      <w:r w:rsidRPr="008D0EA2">
        <w:t>, Mitteilung an die Presse, 3115. Tagung des Rates Wirtschaft und Finanzen, Luxemburg, 4. Oktober 2011, Dok.-Nr. des Rates 14890/11 (Presse 337), abrufbar unter: &lt;register.consilium.europa.eu/</w:t>
      </w:r>
      <w:r w:rsidR="00280D27">
        <w:br/>
      </w:r>
      <w:r w:rsidRPr="008D0EA2">
        <w:t>pdf/de/11/st14/st14890.de11.pdf&gt;.</w:t>
      </w:r>
    </w:p>
    <w:p w14:paraId="136C4802" w14:textId="4D8D49E0" w:rsidR="009C3EC1" w:rsidRPr="00E73AAF" w:rsidRDefault="002B6EC9" w:rsidP="00E73AAF">
      <w:r w:rsidRPr="008D0EA2">
        <w:t>Richtlinien und Verordnungen der Europäischen Union sind mit Angabe der Art des Gesetzgebungsaktes (Richtlinie, Verordnung), der Nummer des Rechtsaktes, dem Datum, dem vollständigen Titel sowie der Fundstelle im Amtsblatt der EU aufzunehmen:</w:t>
      </w:r>
    </w:p>
    <w:p w14:paraId="3C133C6F" w14:textId="1F9E3585" w:rsidR="00FA7B0C" w:rsidRPr="008D0EA2" w:rsidRDefault="002B6EC9" w:rsidP="00E73AAF">
      <w:pPr>
        <w:pStyle w:val="Eingerckt"/>
      </w:pPr>
      <w:r w:rsidRPr="008D0EA2">
        <w:rPr>
          <w:smallCaps/>
        </w:rPr>
        <w:t>Europäische Union</w:t>
      </w:r>
      <w:r w:rsidRPr="008D0EA2">
        <w:t>, Richtlinie 2006/73/EG vom 10. August 2006 zur Durchführung der Richtlinie 2004/39/EG in Bezug auf die organisatorischen An</w:t>
      </w:r>
      <w:r w:rsidR="009C3EC1" w:rsidRPr="008D0EA2">
        <w:t>forderungen an Wertpapier</w:t>
      </w:r>
      <w:r w:rsidRPr="008D0EA2">
        <w:t>firmen und die Bedingungen für die Ausübung ihrer Tätigkeit sowie in Bezug auf die Definition bestimmter Begriffe für die Zwecke der genannten Richtlinie (MiFID-DRL), ABl. Nr. L 241/26 vom 2.</w:t>
      </w:r>
      <w:r w:rsidR="0062056F">
        <w:t> </w:t>
      </w:r>
      <w:r w:rsidRPr="008D0EA2">
        <w:t>September 2006.</w:t>
      </w:r>
    </w:p>
    <w:p w14:paraId="769D302E" w14:textId="4057E892" w:rsidR="009C3EC1" w:rsidRPr="00E73AAF" w:rsidRDefault="002B6EC9" w:rsidP="00E73AAF">
      <w:pPr>
        <w:pStyle w:val="Eingerckt"/>
      </w:pPr>
      <w:r w:rsidRPr="008D0EA2">
        <w:rPr>
          <w:smallCaps/>
        </w:rPr>
        <w:t>Europäische Union</w:t>
      </w:r>
      <w:r w:rsidRPr="008D0EA2">
        <w:t>, Verordnung (EU) Nr. 1092/2010 vom 24. November 2010 über die Finanzaufsicht der Europäischen Union auf Makroebene und zur Errichtung eines Europäischen Ausschusses für Systemrisiken (ESRB-VO), ABl. Nr. L 331/1 vom 15. Dezember 2010.</w:t>
      </w:r>
    </w:p>
    <w:p w14:paraId="074E3B5E" w14:textId="77777777" w:rsidR="00192AC2" w:rsidRPr="008D0EA2" w:rsidRDefault="002B6EC9" w:rsidP="00E73AAF">
      <w:r w:rsidRPr="008D0EA2">
        <w:lastRenderedPageBreak/>
        <w:t>Weitere Zitierregeln diesbezüglich sind auf der Internetseite des Bundesgerichtes erhältlich.</w:t>
      </w:r>
      <w:r w:rsidR="008C0B74" w:rsidRPr="008D0EA2">
        <w:rPr>
          <w:rFonts w:eastAsia="Times New Roman"/>
          <w:position w:val="6"/>
          <w:vertAlign w:val="superscript"/>
          <w:lang w:eastAsia="de-CH"/>
        </w:rPr>
        <w:footnoteReference w:id="10"/>
      </w:r>
      <w:r w:rsidRPr="008D0EA2">
        <w:rPr>
          <w:vertAlign w:val="superscript"/>
        </w:rPr>
        <w:t xml:space="preserve"> </w:t>
      </w:r>
    </w:p>
    <w:p w14:paraId="5F4832EE" w14:textId="77777777" w:rsidR="002B6EC9" w:rsidRPr="00D57D51" w:rsidRDefault="002B6EC9" w:rsidP="001738A0">
      <w:pPr>
        <w:pStyle w:val="berschrift1"/>
        <w:numPr>
          <w:ilvl w:val="0"/>
          <w:numId w:val="8"/>
        </w:numPr>
        <w:spacing w:line="288" w:lineRule="auto"/>
        <w:contextualSpacing/>
        <w:rPr>
          <w:rFonts w:ascii="Times New Roman" w:hAnsi="Times New Roman" w:cs="Times New Roman"/>
        </w:rPr>
      </w:pPr>
      <w:bookmarkStart w:id="29" w:name="_Toc97043980"/>
      <w:r w:rsidRPr="00D57D51">
        <w:rPr>
          <w:rFonts w:ascii="Times New Roman" w:hAnsi="Times New Roman" w:cs="Times New Roman"/>
        </w:rPr>
        <w:t>Fussnoten</w:t>
      </w:r>
      <w:bookmarkEnd w:id="29"/>
    </w:p>
    <w:p w14:paraId="6FD6AD9F" w14:textId="77777777" w:rsidR="002B6EC9" w:rsidRPr="008D0EA2" w:rsidRDefault="002B6EC9" w:rsidP="00F51BE4">
      <w:pPr>
        <w:pStyle w:val="berschrift2"/>
        <w:spacing w:line="288" w:lineRule="auto"/>
        <w:contextualSpacing/>
        <w:rPr>
          <w:rFonts w:ascii="Times New Roman" w:hAnsi="Times New Roman" w:cs="Times New Roman"/>
        </w:rPr>
      </w:pPr>
      <w:bookmarkStart w:id="30" w:name="_Toc97043981"/>
      <w:r w:rsidRPr="008D0EA2">
        <w:rPr>
          <w:rFonts w:ascii="Times New Roman" w:hAnsi="Times New Roman" w:cs="Times New Roman"/>
        </w:rPr>
        <w:t>1.</w:t>
      </w:r>
      <w:r w:rsidRPr="008D0EA2">
        <w:rPr>
          <w:rFonts w:ascii="Times New Roman" w:hAnsi="Times New Roman" w:cs="Times New Roman"/>
        </w:rPr>
        <w:tab/>
        <w:t>Grundregeln</w:t>
      </w:r>
      <w:bookmarkEnd w:id="30"/>
    </w:p>
    <w:p w14:paraId="7DE49DDC" w14:textId="77777777" w:rsidR="00E73AAF" w:rsidRDefault="002B6EC9" w:rsidP="00E73AAF">
      <w:r w:rsidRPr="008D0EA2">
        <w:t>Eine von Anfängern häufig übersehene Grundregel der Fussnoteng</w:t>
      </w:r>
      <w:r w:rsidR="00B21CC6" w:rsidRPr="008D0EA2">
        <w:t>e</w:t>
      </w:r>
      <w:r w:rsidR="00192AC2" w:rsidRPr="008D0EA2">
        <w:t>stal</w:t>
      </w:r>
      <w:r w:rsidRPr="008D0EA2">
        <w:t>tung lautet: Jede Fussnote beginnt m</w:t>
      </w:r>
      <w:r w:rsidR="00192AC2" w:rsidRPr="008D0EA2">
        <w:t>it einem Grossbuchstaben und en</w:t>
      </w:r>
      <w:r w:rsidRPr="008D0EA2">
        <w:t>det mit einem Satzzeichen – meist einem Punkt. Ausserdem werden die Erläuterungskürzel («Vgl.», «Siehe», «Anderer Ansicht» oder «A.A.», «Etwa») aus Unkenntnis oft willkürlich gebraucht, etwa wenn jede Fussnote mit «Vgl.» beginnt. Das ist falsch. Wenn die zitierte Autorin genau das sagt, was belegt wer</w:t>
      </w:r>
      <w:r w:rsidR="00192AC2" w:rsidRPr="008D0EA2">
        <w:t>den soll, dann erübrigt sich je</w:t>
      </w:r>
      <w:r w:rsidRPr="008D0EA2">
        <w:t>des Erläuterungskürzel. Wer b</w:t>
      </w:r>
      <w:r w:rsidR="00192AC2" w:rsidRPr="008D0EA2">
        <w:t>eispielsweise ein wörtliches Zi</w:t>
      </w:r>
      <w:r w:rsidRPr="008D0EA2">
        <w:t>tat im Text präsentiert und dann die dazugehörige Fussnote mit «Vgl.» oder «Siehe» beginnt, hat bereits einen Fehler gemacht. W</w:t>
      </w:r>
      <w:r w:rsidR="00B21CC6" w:rsidRPr="008D0EA2">
        <w:t>enn hin</w:t>
      </w:r>
      <w:r w:rsidRPr="008D0EA2">
        <w:t xml:space="preserve">gegen die zitierte Autorin nur </w:t>
      </w:r>
      <w:r w:rsidR="00192AC2" w:rsidRPr="008D0EA2">
        <w:t>einen ähnlichen, aber nicht den</w:t>
      </w:r>
      <w:r w:rsidRPr="008D0EA2">
        <w:t>selben Gedanken ausdrückt, dann ist «Vgl.» das richtige Erläuterungskürzel. Das Kürzel ist also gleichzeitig ein Zeichen dafür, dass kein ganz treffender Beleg gefunden werden konnte. Es sollte so sparsam wie möglich eingesetzt werden. Wird in der zitierten Literatur mehr als im eigenen Text präsentiert, dann kann man das mit «Siehe» kennzeichnen. Dasselbe Kürzel steht auch bei weiterführender Literatur und bei Verweisungen. Beispiele, etwa aus der Judikatur, kann man mit «Etwa», «Beispielsweise», «Z. B.» oder «Siehe etwa» beginnen, um deutlich zu machen, dass dies keineswegs die einzigen einschlägigen Fälle sind. Insgesamt lautet der Merksatz: Erläuterungskürzel sind mit Bedacht zu benutzen, nicht pauschal.</w:t>
      </w:r>
    </w:p>
    <w:p w14:paraId="0C7CEFFF" w14:textId="3E699533" w:rsidR="00E73AAF" w:rsidRDefault="0076711C" w:rsidP="00E73AAF">
      <w:pPr>
        <w:pStyle w:val="StandardE"/>
      </w:pPr>
      <w:r>
        <w:t>Inhaltlich dienen Fussnoten als Quellennachwei</w:t>
      </w:r>
      <w:r w:rsidR="00C9715D">
        <w:t>s</w:t>
      </w:r>
      <w:r>
        <w:t>. Gleichzeitig</w:t>
      </w:r>
      <w:r w:rsidR="00C9715D">
        <w:t xml:space="preserve"> sind sie für die interessierte Leserschaft Fundgruben. Sie begleiten den Haupttext als Subtext, der weiterführende und </w:t>
      </w:r>
      <w:r w:rsidR="00960E3E">
        <w:t>gewichtende Hinweise enthalten kann (wer argumentiert besonders ausführlich, wer vertritt eine abweichende Meinung?).</w:t>
      </w:r>
    </w:p>
    <w:p w14:paraId="0C25D457" w14:textId="0F22AFCA" w:rsidR="00B21CC6" w:rsidRPr="00E73AAF" w:rsidRDefault="002B6EC9" w:rsidP="00E73AAF">
      <w:r w:rsidRPr="008D0EA2">
        <w:rPr>
          <w:rFonts w:cs="Times New Roman"/>
          <w:szCs w:val="24"/>
        </w:rPr>
        <w:t>Was gilt nun für die Form der Literaturzitate? Zunächst müssen wörtliche Zitate, auf die sich eine Fussnote bezieht, in Anführungsstriche gesetzt und exakt wiedergegeben werden, also nötigenfalls mit Auslassungszeichen (...), nationalen Sonderze</w:t>
      </w:r>
      <w:r w:rsidR="00192AC2" w:rsidRPr="008D0EA2">
        <w:rPr>
          <w:rFonts w:cs="Times New Roman"/>
          <w:szCs w:val="24"/>
        </w:rPr>
        <w:t xml:space="preserve">ichen (ø, </w:t>
      </w:r>
      <w:r w:rsidR="00192AC2" w:rsidRPr="008D0EA2">
        <w:rPr>
          <w:rFonts w:cs="Times New Roman"/>
          <w:szCs w:val="24"/>
        </w:rPr>
        <w:lastRenderedPageBreak/>
        <w:t>â, ë, δ, Ñ, ß) und so</w:t>
      </w:r>
      <w:r w:rsidRPr="008D0EA2">
        <w:rPr>
          <w:rFonts w:cs="Times New Roman"/>
          <w:szCs w:val="24"/>
        </w:rPr>
        <w:t>gar mit Schreibfehlern. Dasselbe gilt für die Wiedergabe von Namen oder Titeln:</w:t>
      </w:r>
    </w:p>
    <w:p w14:paraId="66AF6B52" w14:textId="0E531A92" w:rsidR="00B21CC6" w:rsidRPr="00E73AAF" w:rsidRDefault="002B6EC9" w:rsidP="00E955B0">
      <w:pPr>
        <w:pStyle w:val="Eingerckt"/>
        <w:spacing w:after="480" w:line="240" w:lineRule="auto"/>
      </w:pPr>
      <w:r w:rsidRPr="008D0EA2">
        <w:rPr>
          <w:smallCaps/>
        </w:rPr>
        <w:t>Lübbe-Wolff Gertrude</w:t>
      </w:r>
      <w:r w:rsidRPr="008D0EA2">
        <w:t>, H</w:t>
      </w:r>
      <w:r w:rsidR="00192AC2" w:rsidRPr="008D0EA2">
        <w:t>istorische Funktionen der Unter</w:t>
      </w:r>
      <w:r w:rsidRPr="008D0EA2">
        <w:t>scheidung von Recht und Moral, in: Stig Jørgensen u.a. (Hrsg.), Tradition and Progress in Modern Legal Culture, ARSP-Beiheft 23, 1985, S. 43 (44).</w:t>
      </w:r>
    </w:p>
    <w:p w14:paraId="25D3A4EB" w14:textId="2EA71BD1" w:rsidR="00B21CC6" w:rsidRPr="00E73AAF" w:rsidRDefault="002B6EC9" w:rsidP="00E73AAF">
      <w:r w:rsidRPr="008D0EA2">
        <w:t>In den Fussnoten sind – sofern das Werk keine Randnummern enthält – die genauen Seitenzahlen mit dem Kürzel S. anzugeben, auf die sich der Text bezieht</w:t>
      </w:r>
      <w:r w:rsidR="00B631BC">
        <w:t>:</w:t>
      </w:r>
      <w:r w:rsidRPr="008D0EA2">
        <w:t xml:space="preserve"> </w:t>
      </w:r>
    </w:p>
    <w:p w14:paraId="6D2E5BD7" w14:textId="1989BD72" w:rsidR="00B21CC6" w:rsidRPr="00E73AAF" w:rsidRDefault="00A471DE" w:rsidP="00E955B0">
      <w:pPr>
        <w:pStyle w:val="Eingerckt"/>
        <w:spacing w:after="480" w:line="240" w:lineRule="auto"/>
        <w:rPr>
          <w:lang w:val="fr-CH"/>
        </w:rPr>
      </w:pPr>
      <w:proofErr w:type="spellStart"/>
      <w:r>
        <w:rPr>
          <w:smallCaps/>
          <w:lang w:val="en-US"/>
        </w:rPr>
        <w:t>Schmiedlin</w:t>
      </w:r>
      <w:proofErr w:type="spellEnd"/>
      <w:r>
        <w:rPr>
          <w:lang w:val="en-US"/>
        </w:rPr>
        <w:t>, Clausula, S. 107.</w:t>
      </w:r>
    </w:p>
    <w:p w14:paraId="0442E34D" w14:textId="7026E0C4" w:rsidR="00B21CC6" w:rsidRPr="00B631BC" w:rsidRDefault="002B6EC9" w:rsidP="00B631BC">
      <w:r w:rsidRPr="008D0EA2">
        <w:t>Wo ein Werk eine fortlaufende Rand</w:t>
      </w:r>
      <w:r w:rsidR="00192AC2" w:rsidRPr="008D0EA2">
        <w:t>nummerierung enthält, sind (ein</w:t>
      </w:r>
      <w:r w:rsidRPr="008D0EA2">
        <w:t>zig) die Randnummern (R</w:t>
      </w:r>
      <w:r w:rsidR="00192AC2" w:rsidRPr="008D0EA2">
        <w:t>n</w:t>
      </w:r>
      <w:r w:rsidRPr="008D0EA2">
        <w:t>.) zu zitieren:</w:t>
      </w:r>
    </w:p>
    <w:p w14:paraId="1516B13B" w14:textId="791ED0BE" w:rsidR="00192AC2" w:rsidRPr="008D0EA2" w:rsidRDefault="002B6EC9" w:rsidP="00E73AAF">
      <w:pPr>
        <w:pStyle w:val="Eingerckt"/>
      </w:pPr>
      <w:r w:rsidRPr="008D0EA2">
        <w:rPr>
          <w:smallCaps/>
        </w:rPr>
        <w:t>Rey</w:t>
      </w:r>
      <w:r w:rsidR="00E00CFF">
        <w:rPr>
          <w:smallCaps/>
        </w:rPr>
        <w:t>/Wildhaber</w:t>
      </w:r>
      <w:r w:rsidRPr="008D0EA2">
        <w:t xml:space="preserve">, Haftpflichtrecht, </w:t>
      </w:r>
      <w:r w:rsidR="00192AC2" w:rsidRPr="008D0EA2">
        <w:t>Rn</w:t>
      </w:r>
      <w:r w:rsidRPr="008D0EA2">
        <w:t>. 222.</w:t>
      </w:r>
    </w:p>
    <w:p w14:paraId="02DA58DF" w14:textId="2C501279" w:rsidR="00B21CC6" w:rsidRPr="00E73AAF" w:rsidRDefault="002B6EC9" w:rsidP="00E955B0">
      <w:pPr>
        <w:pStyle w:val="Eingerckt"/>
        <w:spacing w:after="480" w:line="240" w:lineRule="auto"/>
      </w:pPr>
      <w:r w:rsidRPr="008D0EA2">
        <w:rPr>
          <w:smallCaps/>
        </w:rPr>
        <w:t>Schwenzer</w:t>
      </w:r>
      <w:r w:rsidR="00960E3E">
        <w:rPr>
          <w:smallCaps/>
        </w:rPr>
        <w:t>/Fountoulakis</w:t>
      </w:r>
      <w:r w:rsidRPr="008D0EA2">
        <w:t>, OR AT, R</w:t>
      </w:r>
      <w:r w:rsidR="00192AC2" w:rsidRPr="008D0EA2">
        <w:t>n</w:t>
      </w:r>
      <w:r w:rsidRPr="008D0EA2">
        <w:t>. 30.02. (</w:t>
      </w:r>
      <w:r w:rsidR="00B631BC">
        <w:t>H</w:t>
      </w:r>
      <w:r w:rsidRPr="008D0EA2">
        <w:t>ier steht zwar 30 für § 30, es handelt sich jedoch um eine</w:t>
      </w:r>
      <w:r w:rsidR="00192AC2" w:rsidRPr="008D0EA2">
        <w:t xml:space="preserve"> fortlaufende Nummerierung, wes</w:t>
      </w:r>
      <w:r w:rsidRPr="008D0EA2">
        <w:t>halb auch hier R</w:t>
      </w:r>
      <w:r w:rsidR="00192AC2" w:rsidRPr="008D0EA2">
        <w:t>n</w:t>
      </w:r>
      <w:r w:rsidRPr="008D0EA2">
        <w:t>. zu verwenden ist</w:t>
      </w:r>
      <w:r w:rsidR="00B631BC">
        <w:t>.</w:t>
      </w:r>
      <w:r w:rsidRPr="008D0EA2">
        <w:t>)</w:t>
      </w:r>
    </w:p>
    <w:p w14:paraId="6D53B8B8" w14:textId="130AB173" w:rsidR="00EF0CF0" w:rsidRPr="00E73AAF" w:rsidRDefault="002B6EC9" w:rsidP="00E73AAF">
      <w:r w:rsidRPr="008D0EA2">
        <w:t xml:space="preserve">Wo ein Werk bei jedem Kapitel neue Randnummern enthält, </w:t>
      </w:r>
      <w:r w:rsidR="00192AC2" w:rsidRPr="008D0EA2">
        <w:t>ist zu</w:t>
      </w:r>
      <w:r w:rsidRPr="008D0EA2">
        <w:t>sätzlic</w:t>
      </w:r>
      <w:r w:rsidR="00DD379A">
        <w:t>h zu den Randnummern (Rn.</w:t>
      </w:r>
      <w:r w:rsidRPr="008D0EA2">
        <w:t>) das einschlägige Kapitel/</w:t>
      </w:r>
      <w:proofErr w:type="gramStart"/>
      <w:r w:rsidRPr="008D0EA2">
        <w:t>Paragraph</w:t>
      </w:r>
      <w:proofErr w:type="gramEnd"/>
      <w:r w:rsidRPr="008D0EA2">
        <w:t xml:space="preserve"> (ohne Seitenzahl) anzugeben:</w:t>
      </w:r>
    </w:p>
    <w:p w14:paraId="685D4947" w14:textId="1C464E03" w:rsidR="00B21CC6" w:rsidRPr="00B631BC" w:rsidRDefault="002B6EC9" w:rsidP="00E955B0">
      <w:pPr>
        <w:pStyle w:val="Eingerckt"/>
        <w:spacing w:after="480" w:line="240" w:lineRule="auto"/>
      </w:pPr>
      <w:r w:rsidRPr="008D0EA2">
        <w:rPr>
          <w:smallCaps/>
        </w:rPr>
        <w:t>Böckli</w:t>
      </w:r>
      <w:r w:rsidR="00DD379A">
        <w:t>, Aktienrecht, § 16 Rn.</w:t>
      </w:r>
      <w:r w:rsidRPr="008D0EA2">
        <w:t xml:space="preserve"> 17.</w:t>
      </w:r>
    </w:p>
    <w:p w14:paraId="3C04B179" w14:textId="0096C642" w:rsidR="00B21CC6" w:rsidRPr="00B631BC" w:rsidRDefault="00B631BC" w:rsidP="00B631BC">
      <w:r>
        <w:t>K</w:t>
      </w:r>
      <w:r w:rsidR="002B6EC9" w:rsidRPr="008D0EA2">
        <w:t xml:space="preserve">ommentare sind in den Fussnoten </w:t>
      </w:r>
      <w:r>
        <w:t xml:space="preserve">unter Angabe von Artikel und Note </w:t>
      </w:r>
      <w:r w:rsidR="002B6EC9" w:rsidRPr="008D0EA2">
        <w:t>zu zitieren:</w:t>
      </w:r>
    </w:p>
    <w:p w14:paraId="62D3D2EB" w14:textId="265BC88E" w:rsidR="00B21CC6" w:rsidRDefault="00DD379A" w:rsidP="00757EBF">
      <w:pPr>
        <w:spacing w:after="480" w:line="240" w:lineRule="auto"/>
        <w:ind w:left="992" w:hanging="425"/>
        <w:rPr>
          <w:rFonts w:cs="Times New Roman"/>
          <w:szCs w:val="24"/>
        </w:rPr>
      </w:pPr>
      <w:r>
        <w:rPr>
          <w:rFonts w:cs="Times New Roman"/>
          <w:smallCaps/>
          <w:szCs w:val="24"/>
        </w:rPr>
        <w:t>BSK BEHG-</w:t>
      </w:r>
      <w:r w:rsidR="002B6EC9" w:rsidRPr="008D0EA2">
        <w:rPr>
          <w:rFonts w:cs="Times New Roman"/>
          <w:smallCaps/>
          <w:szCs w:val="24"/>
        </w:rPr>
        <w:t>Daeniker/Waller</w:t>
      </w:r>
      <w:r>
        <w:rPr>
          <w:rFonts w:cs="Times New Roman"/>
          <w:szCs w:val="24"/>
        </w:rPr>
        <w:t xml:space="preserve">, </w:t>
      </w:r>
      <w:r w:rsidR="00493667">
        <w:rPr>
          <w:rFonts w:cs="Times New Roman"/>
          <w:szCs w:val="24"/>
        </w:rPr>
        <w:t>Art. 5 N 3</w:t>
      </w:r>
      <w:r w:rsidR="00B631BC">
        <w:rPr>
          <w:rFonts w:cs="Times New Roman"/>
          <w:szCs w:val="24"/>
        </w:rPr>
        <w:t>.</w:t>
      </w:r>
    </w:p>
    <w:p w14:paraId="4AB22704" w14:textId="594E432B" w:rsidR="00EF0CF0" w:rsidRPr="00E73AAF" w:rsidRDefault="00192AC2" w:rsidP="00E73AAF">
      <w:r w:rsidRPr="008D0EA2">
        <w:t>Vereinfachende Seiten</w:t>
      </w:r>
      <w:r w:rsidR="00B631BC">
        <w:t>-</w:t>
      </w:r>
      <w:r w:rsidR="003967BC">
        <w:t xml:space="preserve">, Randnummern- </w:t>
      </w:r>
      <w:r w:rsidR="00B631BC">
        <w:t>oder Noten</w:t>
      </w:r>
      <w:r w:rsidR="002B6EC9" w:rsidRPr="008D0EA2">
        <w:t>angaben mit «f.» (folgende Seite</w:t>
      </w:r>
      <w:r w:rsidR="00B631BC">
        <w:t>/Note</w:t>
      </w:r>
      <w:r w:rsidR="002B6EC9" w:rsidRPr="008D0EA2">
        <w:t xml:space="preserve">) und </w:t>
      </w:r>
      <w:r w:rsidRPr="008D0EA2">
        <w:t>«ff.» (folgende Seite</w:t>
      </w:r>
      <w:r w:rsidRPr="00493667">
        <w:rPr>
          <w:u w:val="single"/>
        </w:rPr>
        <w:t>n</w:t>
      </w:r>
      <w:r w:rsidR="00B631BC" w:rsidRPr="00757EBF">
        <w:t>/Note</w:t>
      </w:r>
      <w:r w:rsidR="00B631BC">
        <w:rPr>
          <w:u w:val="single"/>
        </w:rPr>
        <w:t>n</w:t>
      </w:r>
      <w:r w:rsidRPr="008D0EA2">
        <w:t>) sind zu</w:t>
      </w:r>
      <w:r w:rsidR="002B6EC9" w:rsidRPr="008D0EA2">
        <w:t>lässig und in der Rechtswissenschaft üblich.</w:t>
      </w:r>
      <w:r w:rsidR="00B631BC">
        <w:rPr>
          <w:rStyle w:val="Funotenzeichen"/>
        </w:rPr>
        <w:footnoteReference w:id="11"/>
      </w:r>
      <w:r w:rsidR="002B6EC9" w:rsidRPr="008D0EA2">
        <w:t xml:space="preserve"> </w:t>
      </w:r>
      <w:r w:rsidRPr="008D0EA2">
        <w:t xml:space="preserve">Pauschalverweise auf ganze </w:t>
      </w:r>
      <w:r w:rsidR="00C337EC">
        <w:t>Bücher (d.h. ohne Seitenangabe)</w:t>
      </w:r>
      <w:r w:rsidR="00C337EC" w:rsidRPr="008D0EA2">
        <w:t xml:space="preserve"> </w:t>
      </w:r>
      <w:r w:rsidR="002B6EC9" w:rsidRPr="008D0EA2">
        <w:t xml:space="preserve">oder </w:t>
      </w:r>
      <w:r w:rsidR="00821593">
        <w:t xml:space="preserve">Entscheide und </w:t>
      </w:r>
      <w:r w:rsidR="002B6EC9" w:rsidRPr="008D0EA2">
        <w:t xml:space="preserve">Aufsätze (d.h. nur mit deren Anfangsseite) sind in aller Regel nicht zu </w:t>
      </w:r>
      <w:r w:rsidR="002B6EC9" w:rsidRPr="008D0EA2">
        <w:lastRenderedPageBreak/>
        <w:t>rechtfertigen; sie indizieren ungenaue Arbeitsweise, weil sich die Verfasserin dann nicht festlegt, auf welche Aussage im Zitierten sie sich genau bezieht.</w:t>
      </w:r>
    </w:p>
    <w:p w14:paraId="2F8FA0B1" w14:textId="77777777" w:rsidR="00192AC2" w:rsidRPr="008D0EA2" w:rsidRDefault="002B6EC9" w:rsidP="00E73AAF">
      <w:r w:rsidRPr="008D0EA2">
        <w:t>Mehrere Belege werden, sofern sie nicht durch Erläuterungen geglie</w:t>
      </w:r>
      <w:r w:rsidR="00192AC2" w:rsidRPr="008D0EA2">
        <w:t>dert sind,</w:t>
      </w:r>
      <w:r w:rsidR="008C0B74" w:rsidRPr="008E03EC">
        <w:rPr>
          <w:rFonts w:eastAsia="Times New Roman"/>
          <w:position w:val="6"/>
          <w:vertAlign w:val="superscript"/>
          <w:lang w:eastAsia="de-CH"/>
        </w:rPr>
        <w:footnoteReference w:id="12"/>
      </w:r>
      <w:r w:rsidR="00192AC2" w:rsidRPr="008D0EA2">
        <w:t xml:space="preserve"> </w:t>
      </w:r>
      <w:r w:rsidRPr="008D0EA2">
        <w:t>durch Semikolon getrennt und entweder alphabetisch nach Autorennamen oder chronologisch nach Erscheinungsdatum geordnet. Die Fussnotenzahl im Text können Sie entweder vor oder hinter das Satzzeichen stellen – nur einheitlich muss es sein.</w:t>
      </w:r>
    </w:p>
    <w:p w14:paraId="341470C8" w14:textId="77777777" w:rsidR="002B6EC9" w:rsidRPr="008D0EA2" w:rsidRDefault="002B6EC9" w:rsidP="00F51BE4">
      <w:pPr>
        <w:pStyle w:val="berschrift2"/>
        <w:spacing w:line="288" w:lineRule="auto"/>
        <w:contextualSpacing/>
        <w:rPr>
          <w:rFonts w:ascii="Times New Roman" w:hAnsi="Times New Roman" w:cs="Times New Roman"/>
        </w:rPr>
      </w:pPr>
      <w:bookmarkStart w:id="31" w:name="_Toc97043982"/>
      <w:r w:rsidRPr="008D0EA2">
        <w:rPr>
          <w:rFonts w:ascii="Times New Roman" w:hAnsi="Times New Roman" w:cs="Times New Roman"/>
        </w:rPr>
        <w:t>2.</w:t>
      </w:r>
      <w:r w:rsidRPr="008D0EA2">
        <w:rPr>
          <w:rFonts w:ascii="Times New Roman" w:hAnsi="Times New Roman" w:cs="Times New Roman"/>
        </w:rPr>
        <w:tab/>
        <w:t>Mittlere Zitierweise (Kurztitel)</w:t>
      </w:r>
      <w:bookmarkEnd w:id="31"/>
    </w:p>
    <w:p w14:paraId="5D00F18D" w14:textId="6E840AE9" w:rsidR="00BC2E2A" w:rsidRPr="00E73AAF" w:rsidRDefault="002B6EC9" w:rsidP="00E73AAF">
      <w:pPr>
        <w:rPr>
          <w:rFonts w:eastAsia="Times New Roman"/>
          <w:position w:val="6"/>
          <w:lang w:eastAsia="de-CH"/>
        </w:rPr>
      </w:pPr>
      <w:r w:rsidRPr="008D0EA2">
        <w:rPr>
          <w:b/>
        </w:rPr>
        <w:t>Für die Falllösung/Seminar-/Masterarbeit ist die mittlere Zitierweise zu wählen</w:t>
      </w:r>
      <w:r w:rsidRPr="008D0EA2">
        <w:t>. Die mittlere Zitierweise ist ein Kompromiss, bei dem alle Bücher und Sam</w:t>
      </w:r>
      <w:r w:rsidR="00192AC2" w:rsidRPr="008D0EA2">
        <w:t>melwerksbeiträge mit einem oder mehreren Titel</w:t>
      </w:r>
      <w:r w:rsidRPr="008D0EA2">
        <w:t>stichworten (Kurztitel) zitiert werden, selbst wenn der Autor nur mit einer einzigen Quelle im Literaturve</w:t>
      </w:r>
      <w:r w:rsidR="00192AC2" w:rsidRPr="008D0EA2">
        <w:t>rzeichnis aufgeführt ist</w:t>
      </w:r>
      <w:r w:rsidR="000D6A36">
        <w:t>.</w:t>
      </w:r>
      <w:r w:rsidR="000D6A36">
        <w:rPr>
          <w:rStyle w:val="Funotenzeichen"/>
        </w:rPr>
        <w:footnoteReference w:id="13"/>
      </w:r>
    </w:p>
    <w:p w14:paraId="083FA2BD" w14:textId="77777777" w:rsidR="002B6EC9" w:rsidRPr="008D0EA2" w:rsidRDefault="002B6EC9" w:rsidP="00E955B0">
      <w:pPr>
        <w:pStyle w:val="Eingerckt"/>
        <w:spacing w:after="480"/>
      </w:pPr>
      <w:r w:rsidRPr="008D0EA2">
        <w:rPr>
          <w:smallCaps/>
        </w:rPr>
        <w:t>Schmid/Hürlimann-Kaup</w:t>
      </w:r>
      <w:r w:rsidRPr="008D0EA2">
        <w:t>, Sachenrecht, R</w:t>
      </w:r>
      <w:r w:rsidR="00192AC2" w:rsidRPr="008D0EA2">
        <w:t>n</w:t>
      </w:r>
      <w:r w:rsidRPr="008D0EA2">
        <w:t>. 104.</w:t>
      </w:r>
    </w:p>
    <w:p w14:paraId="612DB682" w14:textId="61EB52C7" w:rsidR="00BC2E2A" w:rsidRPr="00C97CEA" w:rsidRDefault="00C97CEA" w:rsidP="00C97CEA">
      <w:r>
        <w:t xml:space="preserve">Die </w:t>
      </w:r>
      <w:r w:rsidRPr="00E955B0">
        <w:rPr>
          <w:b/>
          <w:bCs/>
        </w:rPr>
        <w:t>Standardkommentare</w:t>
      </w:r>
      <w:r>
        <w:t xml:space="preserve"> sind </w:t>
      </w:r>
      <w:r w:rsidR="00B33F7E">
        <w:t>mit folgenden Kurztiteln</w:t>
      </w:r>
      <w:r>
        <w:t xml:space="preserve"> zu zitieren:</w:t>
      </w:r>
    </w:p>
    <w:p w14:paraId="31BF88CC" w14:textId="1C49C8B8" w:rsidR="002B6EC9" w:rsidRPr="00574E2B" w:rsidRDefault="00914245" w:rsidP="00E73AAF">
      <w:pPr>
        <w:pStyle w:val="Eingerckt"/>
        <w:rPr>
          <w:lang w:val="en-GB"/>
        </w:rPr>
      </w:pPr>
      <w:r w:rsidRPr="00574E2B">
        <w:rPr>
          <w:smallCaps/>
          <w:lang w:val="en-GB"/>
        </w:rPr>
        <w:t>ZK OR-</w:t>
      </w:r>
      <w:proofErr w:type="spellStart"/>
      <w:r w:rsidR="002B6EC9" w:rsidRPr="00574E2B">
        <w:rPr>
          <w:smallCaps/>
          <w:lang w:val="en-GB"/>
        </w:rPr>
        <w:t>Aepli</w:t>
      </w:r>
      <w:proofErr w:type="spellEnd"/>
      <w:r w:rsidR="002B6EC9" w:rsidRPr="00574E2B">
        <w:rPr>
          <w:lang w:val="en-GB"/>
        </w:rPr>
        <w:t xml:space="preserve">, </w:t>
      </w:r>
      <w:r w:rsidRPr="00574E2B">
        <w:rPr>
          <w:lang w:val="en-GB"/>
        </w:rPr>
        <w:t>Art. 114 N 33.</w:t>
      </w:r>
      <w:r w:rsidR="00C97CEA">
        <w:rPr>
          <w:lang w:val="en-GB"/>
        </w:rPr>
        <w:t xml:space="preserve"> (</w:t>
      </w:r>
      <w:proofErr w:type="spellStart"/>
      <w:r w:rsidR="00C97CEA">
        <w:rPr>
          <w:lang w:val="en-GB"/>
        </w:rPr>
        <w:t>Zürcher</w:t>
      </w:r>
      <w:proofErr w:type="spellEnd"/>
      <w:r w:rsidR="00C97CEA">
        <w:rPr>
          <w:lang w:val="en-GB"/>
        </w:rPr>
        <w:t xml:space="preserve"> </w:t>
      </w:r>
      <w:proofErr w:type="spellStart"/>
      <w:r w:rsidR="00C97CEA">
        <w:rPr>
          <w:lang w:val="en-GB"/>
        </w:rPr>
        <w:t>Kommentar</w:t>
      </w:r>
      <w:proofErr w:type="spellEnd"/>
      <w:r w:rsidR="00C97CEA">
        <w:rPr>
          <w:lang w:val="en-GB"/>
        </w:rPr>
        <w:t>)</w:t>
      </w:r>
    </w:p>
    <w:p w14:paraId="1BEFBF58" w14:textId="00362E67" w:rsidR="002B6EC9" w:rsidRPr="00574E2B" w:rsidRDefault="00914245" w:rsidP="00E73AAF">
      <w:pPr>
        <w:pStyle w:val="Eingerckt"/>
        <w:rPr>
          <w:lang w:val="en-GB"/>
        </w:rPr>
      </w:pPr>
      <w:r w:rsidRPr="00574E2B">
        <w:rPr>
          <w:smallCaps/>
          <w:lang w:val="en-GB"/>
        </w:rPr>
        <w:t>BK OR-</w:t>
      </w:r>
      <w:r w:rsidR="002B6EC9" w:rsidRPr="00574E2B">
        <w:rPr>
          <w:smallCaps/>
          <w:lang w:val="en-GB"/>
        </w:rPr>
        <w:t>Brehm</w:t>
      </w:r>
      <w:r w:rsidRPr="00574E2B">
        <w:rPr>
          <w:lang w:val="en-GB"/>
        </w:rPr>
        <w:t>, Art. 43 N 22.</w:t>
      </w:r>
      <w:r w:rsidR="00C97CEA">
        <w:rPr>
          <w:lang w:val="en-GB"/>
        </w:rPr>
        <w:t xml:space="preserve"> (Berner </w:t>
      </w:r>
      <w:proofErr w:type="spellStart"/>
      <w:r w:rsidR="00C97CEA">
        <w:rPr>
          <w:lang w:val="en-GB"/>
        </w:rPr>
        <w:t>Kommentar</w:t>
      </w:r>
      <w:proofErr w:type="spellEnd"/>
      <w:r w:rsidR="00C97CEA">
        <w:rPr>
          <w:lang w:val="en-GB"/>
        </w:rPr>
        <w:t>)</w:t>
      </w:r>
    </w:p>
    <w:p w14:paraId="578C6683" w14:textId="6533B1F9" w:rsidR="002B6EC9" w:rsidRPr="00574E2B" w:rsidRDefault="00914245" w:rsidP="00E73AAF">
      <w:pPr>
        <w:pStyle w:val="Eingerckt"/>
        <w:rPr>
          <w:lang w:val="en-GB"/>
        </w:rPr>
      </w:pPr>
      <w:r w:rsidRPr="00574E2B">
        <w:rPr>
          <w:smallCaps/>
          <w:lang w:val="en-GB"/>
        </w:rPr>
        <w:t>BSK OR-</w:t>
      </w:r>
      <w:r w:rsidR="002B6EC9" w:rsidRPr="00574E2B">
        <w:rPr>
          <w:smallCaps/>
          <w:lang w:val="en-GB"/>
        </w:rPr>
        <w:t>Wiegand</w:t>
      </w:r>
      <w:r w:rsidR="002B6EC9" w:rsidRPr="00574E2B">
        <w:rPr>
          <w:lang w:val="en-GB"/>
        </w:rPr>
        <w:t xml:space="preserve">, </w:t>
      </w:r>
      <w:r w:rsidRPr="00574E2B">
        <w:rPr>
          <w:lang w:val="en-GB"/>
        </w:rPr>
        <w:t>Art. 97 N 14.</w:t>
      </w:r>
      <w:r w:rsidR="00C97CEA">
        <w:rPr>
          <w:lang w:val="en-GB"/>
        </w:rPr>
        <w:t xml:space="preserve"> (Basler </w:t>
      </w:r>
      <w:proofErr w:type="spellStart"/>
      <w:r w:rsidR="00C97CEA">
        <w:rPr>
          <w:lang w:val="en-GB"/>
        </w:rPr>
        <w:t>Kommentar</w:t>
      </w:r>
      <w:proofErr w:type="spellEnd"/>
      <w:r w:rsidR="00C97CEA">
        <w:rPr>
          <w:lang w:val="en-GB"/>
        </w:rPr>
        <w:t>)</w:t>
      </w:r>
    </w:p>
    <w:p w14:paraId="0F524BFC" w14:textId="090E1D90" w:rsidR="00914245" w:rsidRDefault="00914245" w:rsidP="00E955B0">
      <w:pPr>
        <w:pStyle w:val="Eingerckt"/>
        <w:spacing w:after="480"/>
        <w:rPr>
          <w:lang w:val="en-GB"/>
        </w:rPr>
      </w:pPr>
      <w:r w:rsidRPr="00574E2B">
        <w:rPr>
          <w:smallCaps/>
          <w:lang w:val="en-GB"/>
        </w:rPr>
        <w:t>CR CO-</w:t>
      </w:r>
      <w:proofErr w:type="spellStart"/>
      <w:r w:rsidRPr="00574E2B">
        <w:rPr>
          <w:smallCaps/>
          <w:lang w:val="en-GB"/>
        </w:rPr>
        <w:t>Thévenoz</w:t>
      </w:r>
      <w:proofErr w:type="spellEnd"/>
      <w:r w:rsidRPr="00574E2B">
        <w:rPr>
          <w:lang w:val="en-GB"/>
        </w:rPr>
        <w:t>, Art. 97 N 33</w:t>
      </w:r>
      <w:r w:rsidR="00E955B0">
        <w:rPr>
          <w:lang w:val="en-GB"/>
        </w:rPr>
        <w:t>.</w:t>
      </w:r>
      <w:r w:rsidR="00C97CEA">
        <w:rPr>
          <w:lang w:val="en-GB"/>
        </w:rPr>
        <w:t xml:space="preserve"> (</w:t>
      </w:r>
      <w:proofErr w:type="spellStart"/>
      <w:r w:rsidR="00C97CEA">
        <w:rPr>
          <w:lang w:val="en-GB"/>
        </w:rPr>
        <w:t>Commentaire</w:t>
      </w:r>
      <w:proofErr w:type="spellEnd"/>
      <w:r w:rsidR="00C97CEA">
        <w:rPr>
          <w:lang w:val="en-GB"/>
        </w:rPr>
        <w:t xml:space="preserve"> </w:t>
      </w:r>
      <w:proofErr w:type="spellStart"/>
      <w:r w:rsidR="00C97CEA">
        <w:rPr>
          <w:lang w:val="en-GB"/>
        </w:rPr>
        <w:t>Romand</w:t>
      </w:r>
      <w:proofErr w:type="spellEnd"/>
      <w:r w:rsidR="00C97CEA">
        <w:rPr>
          <w:lang w:val="en-GB"/>
        </w:rPr>
        <w:t>)</w:t>
      </w:r>
    </w:p>
    <w:p w14:paraId="1F833966" w14:textId="060703FE" w:rsidR="00C97CEA" w:rsidRPr="00574E2B" w:rsidRDefault="00C97CEA" w:rsidP="00C97CEA">
      <w:pPr>
        <w:rPr>
          <w:lang w:val="en-GB"/>
        </w:rPr>
      </w:pPr>
      <w:r w:rsidRPr="00C97CEA">
        <w:t xml:space="preserve">Die meisten </w:t>
      </w:r>
      <w:r w:rsidR="00B33F7E">
        <w:t xml:space="preserve">anderen </w:t>
      </w:r>
      <w:r w:rsidRPr="00C97CEA">
        <w:t>Komment</w:t>
      </w:r>
      <w:r w:rsidR="00B33F7E">
        <w:t>ierungen</w:t>
      </w:r>
      <w:r w:rsidRPr="00C97CEA">
        <w:t xml:space="preserve"> schlagen einen </w:t>
      </w:r>
      <w:r w:rsidR="00B33F7E">
        <w:t xml:space="preserve">geeigneten </w:t>
      </w:r>
      <w:r w:rsidRPr="00C97CEA">
        <w:t>Kurztitel vor</w:t>
      </w:r>
      <w:r w:rsidR="00B33F7E">
        <w:t>.</w:t>
      </w:r>
      <w:r w:rsidR="00B33F7E">
        <w:rPr>
          <w:rStyle w:val="Funotenzeichen"/>
        </w:rPr>
        <w:footnoteReference w:id="14"/>
      </w:r>
      <w:r w:rsidRPr="00C97CEA">
        <w:t xml:space="preserve"> </w:t>
      </w:r>
      <w:r w:rsidR="00B33F7E">
        <w:t xml:space="preserve">Wo das nicht der Fall ist, muss ein Kurztitel für den Kommentar vergeben werden: </w:t>
      </w:r>
    </w:p>
    <w:p w14:paraId="40459DBC" w14:textId="7E4DC911" w:rsidR="002B6EC9" w:rsidRPr="00027027" w:rsidRDefault="00914245" w:rsidP="00E73AAF">
      <w:pPr>
        <w:pStyle w:val="Eingerckt"/>
      </w:pPr>
      <w:r>
        <w:t>Soergel BGB-</w:t>
      </w:r>
      <w:r w:rsidRPr="00027027">
        <w:rPr>
          <w:smallCaps/>
        </w:rPr>
        <w:t xml:space="preserve">Fahse, </w:t>
      </w:r>
      <w:r w:rsidRPr="00027027">
        <w:t>§ 226 N 3.</w:t>
      </w:r>
    </w:p>
    <w:p w14:paraId="5659C1B2" w14:textId="5E689F8E" w:rsidR="00BC2E2A" w:rsidRPr="00C97CEA" w:rsidRDefault="00914245" w:rsidP="00E955B0">
      <w:pPr>
        <w:pStyle w:val="Eingerckt"/>
        <w:spacing w:after="480"/>
      </w:pPr>
      <w:r w:rsidRPr="00027027">
        <w:lastRenderedPageBreak/>
        <w:t>HandK StGB</w:t>
      </w:r>
      <w:r w:rsidRPr="00027027">
        <w:rPr>
          <w:smallCaps/>
        </w:rPr>
        <w:t>-</w:t>
      </w:r>
      <w:r w:rsidR="002B6EC9" w:rsidRPr="00027027">
        <w:rPr>
          <w:smallCaps/>
        </w:rPr>
        <w:t>Stratenwerth/Wohlers</w:t>
      </w:r>
      <w:r w:rsidR="002B6EC9" w:rsidRPr="00027027">
        <w:t xml:space="preserve">, </w:t>
      </w:r>
      <w:r w:rsidRPr="00027027">
        <w:t>Art. 14 N 44.</w:t>
      </w:r>
    </w:p>
    <w:p w14:paraId="69ADCB7C" w14:textId="218219FA" w:rsidR="00BC2E2A" w:rsidRPr="00E73AAF" w:rsidRDefault="002B6EC9" w:rsidP="00E73AAF">
      <w:r w:rsidRPr="008D0EA2">
        <w:rPr>
          <w:b/>
        </w:rPr>
        <w:t>Zeitschriftenzitate</w:t>
      </w:r>
      <w:r w:rsidRPr="008D0EA2">
        <w:t xml:space="preserve"> erscheinen ohne Kurz</w:t>
      </w:r>
      <w:r w:rsidR="006E16DF" w:rsidRPr="008D0EA2">
        <w:t>titel mit der Fundstellenan</w:t>
      </w:r>
      <w:r w:rsidRPr="008D0EA2">
        <w:t>gabe für die Zeitschrift.</w:t>
      </w:r>
      <w:r w:rsidR="00CE353E">
        <w:t xml:space="preserve"> Im Regelfall genügt die Angabe des Zeitschriftenkürzels, der Jahres-</w:t>
      </w:r>
      <w:r w:rsidR="002A510C">
        <w:t xml:space="preserve"> </w:t>
      </w:r>
      <w:r w:rsidR="00CE353E">
        <w:t xml:space="preserve">sowie der Seitenzahl: </w:t>
      </w:r>
    </w:p>
    <w:p w14:paraId="4B643DD8" w14:textId="1C470152" w:rsidR="002B6EC9" w:rsidRPr="00574E2B" w:rsidRDefault="002B6EC9" w:rsidP="00E73AAF">
      <w:pPr>
        <w:pStyle w:val="Eingerckt"/>
        <w:rPr>
          <w:lang w:val="it-IT"/>
        </w:rPr>
      </w:pPr>
      <w:r w:rsidRPr="00574E2B">
        <w:rPr>
          <w:smallCaps/>
          <w:lang w:val="it-IT"/>
        </w:rPr>
        <w:t>Berger</w:t>
      </w:r>
      <w:r w:rsidRPr="00574E2B">
        <w:rPr>
          <w:lang w:val="it-IT"/>
        </w:rPr>
        <w:t xml:space="preserve">, recht 2000, </w:t>
      </w:r>
      <w:r w:rsidR="002061C9">
        <w:rPr>
          <w:lang w:val="it-IT"/>
        </w:rPr>
        <w:t>S.</w:t>
      </w:r>
      <w:r w:rsidR="00532481">
        <w:rPr>
          <w:lang w:val="it-IT"/>
        </w:rPr>
        <w:t> </w:t>
      </w:r>
      <w:r w:rsidRPr="00574E2B">
        <w:rPr>
          <w:lang w:val="it-IT"/>
        </w:rPr>
        <w:t>185.</w:t>
      </w:r>
    </w:p>
    <w:p w14:paraId="39307556" w14:textId="0A26D27F" w:rsidR="00E955B0" w:rsidRDefault="002B6EC9" w:rsidP="00E955B0">
      <w:pPr>
        <w:pStyle w:val="Eingerckt"/>
        <w:rPr>
          <w:lang w:val="it-IT"/>
        </w:rPr>
      </w:pPr>
      <w:r w:rsidRPr="00574E2B">
        <w:rPr>
          <w:smallCaps/>
          <w:lang w:val="it-IT"/>
        </w:rPr>
        <w:t>Carranza/Micotti</w:t>
      </w:r>
      <w:r w:rsidRPr="00574E2B">
        <w:rPr>
          <w:lang w:val="it-IT"/>
        </w:rPr>
        <w:t>, AJP 2009, S.</w:t>
      </w:r>
      <w:r w:rsidR="00532481">
        <w:rPr>
          <w:lang w:val="it-IT"/>
        </w:rPr>
        <w:t> </w:t>
      </w:r>
      <w:r w:rsidRPr="00574E2B">
        <w:rPr>
          <w:lang w:val="it-IT"/>
        </w:rPr>
        <w:t>115.</w:t>
      </w:r>
    </w:p>
    <w:p w14:paraId="0E65FF9F" w14:textId="4135C6E4" w:rsidR="00E955B0" w:rsidRPr="00E955B0" w:rsidRDefault="00E955B0" w:rsidP="00E955B0">
      <w:pPr>
        <w:pStyle w:val="Eingerckt"/>
        <w:spacing w:after="480"/>
      </w:pPr>
      <w:r>
        <w:rPr>
          <w:smallCaps/>
        </w:rPr>
        <w:t xml:space="preserve">Gauch, </w:t>
      </w:r>
      <w:r w:rsidRPr="00675D55">
        <w:t>recht 2012</w:t>
      </w:r>
      <w:r>
        <w:rPr>
          <w:smallCaps/>
        </w:rPr>
        <w:t>, S. 126.</w:t>
      </w:r>
    </w:p>
    <w:p w14:paraId="470CEC58" w14:textId="6BC64816" w:rsidR="00532481" w:rsidRPr="00292728" w:rsidRDefault="00CE353E" w:rsidP="00E73AAF">
      <w:r w:rsidRPr="00292728">
        <w:t xml:space="preserve">In </w:t>
      </w:r>
      <w:r w:rsidR="00532481" w:rsidRPr="00292728">
        <w:t xml:space="preserve">seltenen Fällen </w:t>
      </w:r>
      <w:r w:rsidRPr="00292728">
        <w:t xml:space="preserve">ist zusätzlich die </w:t>
      </w:r>
      <w:r w:rsidR="00532481" w:rsidRPr="00292728">
        <w:t xml:space="preserve">Angabe </w:t>
      </w:r>
      <w:r w:rsidRPr="00292728">
        <w:t>der</w:t>
      </w:r>
      <w:r w:rsidR="00532481" w:rsidRPr="00292728">
        <w:t xml:space="preserve"> Band- </w:t>
      </w:r>
      <w:r w:rsidRPr="00292728">
        <w:t>oder</w:t>
      </w:r>
      <w:r w:rsidR="00532481" w:rsidRPr="00292728">
        <w:t xml:space="preserve"> Heftnummer </w:t>
      </w:r>
      <w:r w:rsidRPr="00292728">
        <w:t xml:space="preserve">erforderlich (siehe </w:t>
      </w:r>
      <w:r w:rsidR="00532481" w:rsidRPr="00292728">
        <w:t>Bst.</w:t>
      </w:r>
      <w:r w:rsidRPr="00292728">
        <w:t> </w:t>
      </w:r>
      <w:r w:rsidR="00532481" w:rsidRPr="00292728">
        <w:t>IV</w:t>
      </w:r>
      <w:r w:rsidR="00E00CFF" w:rsidRPr="00292728">
        <w:t>.</w:t>
      </w:r>
      <w:r w:rsidR="00532481" w:rsidRPr="00292728">
        <w:t>/3</w:t>
      </w:r>
      <w:r w:rsidR="00E00CFF" w:rsidRPr="00292728">
        <w:t>.</w:t>
      </w:r>
      <w:r w:rsidR="00532481" w:rsidRPr="00292728">
        <w:t>/b</w:t>
      </w:r>
      <w:r w:rsidR="00E00CFF" w:rsidRPr="00292728">
        <w:t>)</w:t>
      </w:r>
      <w:r w:rsidRPr="00292728">
        <w:t xml:space="preserve"> oben</w:t>
      </w:r>
      <w:r w:rsidR="00532481" w:rsidRPr="00292728">
        <w:t>):</w:t>
      </w:r>
    </w:p>
    <w:p w14:paraId="258B7727" w14:textId="77777777" w:rsidR="00532481" w:rsidRPr="00292728" w:rsidRDefault="00532481" w:rsidP="00532481">
      <w:pPr>
        <w:pStyle w:val="Eingerckt"/>
        <w:rPr>
          <w:smallCaps/>
        </w:rPr>
      </w:pPr>
      <w:r w:rsidRPr="00292728">
        <w:rPr>
          <w:smallCaps/>
        </w:rPr>
        <w:t>Gauch, ZSR 1997 I, S. 317.</w:t>
      </w:r>
    </w:p>
    <w:p w14:paraId="781560A5" w14:textId="123B0649" w:rsidR="00FF5C0A" w:rsidRPr="008D0EA2" w:rsidRDefault="00532481" w:rsidP="00E955B0">
      <w:pPr>
        <w:pStyle w:val="Eingerckt"/>
        <w:spacing w:after="480"/>
        <w:rPr>
          <w:rFonts w:cs="Times New Roman"/>
          <w:szCs w:val="24"/>
        </w:rPr>
      </w:pPr>
      <w:r w:rsidRPr="00292728">
        <w:rPr>
          <w:smallCaps/>
        </w:rPr>
        <w:t>Lombardi</w:t>
      </w:r>
      <w:r w:rsidRPr="00292728">
        <w:t>, ex ante 2020-1, S. 13.</w:t>
      </w:r>
    </w:p>
    <w:p w14:paraId="67298AA2" w14:textId="7D6CD909" w:rsidR="002B6EC9" w:rsidRPr="008D0EA2" w:rsidRDefault="002B6EC9" w:rsidP="00E73AAF">
      <w:r w:rsidRPr="008D0EA2">
        <w:t xml:space="preserve">Bei </w:t>
      </w:r>
      <w:r w:rsidRPr="008D0EA2">
        <w:rPr>
          <w:b/>
        </w:rPr>
        <w:t>Festschriftenbeiträgen</w:t>
      </w:r>
      <w:r w:rsidRPr="008D0EA2">
        <w:t xml:space="preserve"> kann der Name des Geehrten an die Stelle des Kurztitels treten</w:t>
      </w:r>
      <w:r w:rsidR="00E955B0">
        <w:t>:</w:t>
      </w:r>
    </w:p>
    <w:p w14:paraId="78344C59" w14:textId="03549C5F" w:rsidR="00FF5C0A" w:rsidRDefault="002B6EC9" w:rsidP="00E73AAF">
      <w:pPr>
        <w:pStyle w:val="Eingerckt"/>
      </w:pPr>
      <w:r w:rsidRPr="008D0EA2">
        <w:rPr>
          <w:smallCaps/>
        </w:rPr>
        <w:t>Kramer</w:t>
      </w:r>
      <w:r w:rsidRPr="008D0EA2">
        <w:t>, FS Canaris, S. 670.</w:t>
      </w:r>
    </w:p>
    <w:p w14:paraId="5FFF8A14" w14:textId="118428E1" w:rsidR="006002D4" w:rsidRPr="00E73AAF" w:rsidRDefault="006002D4" w:rsidP="00E955B0">
      <w:pPr>
        <w:pStyle w:val="Eingerckt"/>
        <w:spacing w:after="480"/>
      </w:pPr>
      <w:r>
        <w:rPr>
          <w:smallCaps/>
        </w:rPr>
        <w:t>Schmid, FS Koller, S.</w:t>
      </w:r>
      <w:r w:rsidR="00C82930">
        <w:rPr>
          <w:smallCaps/>
        </w:rPr>
        <w:t> </w:t>
      </w:r>
      <w:r>
        <w:rPr>
          <w:smallCaps/>
        </w:rPr>
        <w:t>854.</w:t>
      </w:r>
    </w:p>
    <w:p w14:paraId="0594DE0D" w14:textId="7B36B88A" w:rsidR="00D95AF1" w:rsidRDefault="00D95AF1" w:rsidP="00E73AAF">
      <w:pPr>
        <w:rPr>
          <w:bCs/>
        </w:rPr>
      </w:pPr>
      <w:r w:rsidRPr="00D95AF1">
        <w:rPr>
          <w:bCs/>
        </w:rPr>
        <w:t xml:space="preserve">Bei periodisch erscheinenden </w:t>
      </w:r>
      <w:r>
        <w:rPr>
          <w:b/>
        </w:rPr>
        <w:t xml:space="preserve">Tagungsbänden </w:t>
      </w:r>
      <w:r w:rsidRPr="00D95AF1">
        <w:rPr>
          <w:bCs/>
        </w:rPr>
        <w:t>kann d</w:t>
      </w:r>
      <w:r>
        <w:rPr>
          <w:bCs/>
        </w:rPr>
        <w:t>er abgekürzte Name der Tagung gefolgt von der Jahreszahl an die Stelle des Kurztitels treten:</w:t>
      </w:r>
    </w:p>
    <w:p w14:paraId="7D5272DA" w14:textId="5E702353" w:rsidR="00D95AF1" w:rsidRDefault="00C568E7" w:rsidP="00D95AF1">
      <w:pPr>
        <w:pStyle w:val="Eingerckt"/>
        <w:rPr>
          <w:lang w:val="de-DE"/>
        </w:rPr>
      </w:pPr>
      <w:r>
        <w:rPr>
          <w:smallCaps/>
          <w:lang w:val="de-DE"/>
        </w:rPr>
        <w:t>Walter</w:t>
      </w:r>
      <w:r w:rsidR="00D95AF1" w:rsidRPr="00D95AF1">
        <w:rPr>
          <w:lang w:val="de-DE"/>
        </w:rPr>
        <w:t xml:space="preserve">, HVRT </w:t>
      </w:r>
      <w:r>
        <w:rPr>
          <w:lang w:val="de-DE"/>
        </w:rPr>
        <w:t>200</w:t>
      </w:r>
      <w:r w:rsidR="00712A80">
        <w:rPr>
          <w:lang w:val="de-DE"/>
        </w:rPr>
        <w:t>3</w:t>
      </w:r>
      <w:r w:rsidR="00D95AF1" w:rsidRPr="00D95AF1">
        <w:rPr>
          <w:lang w:val="de-DE"/>
        </w:rPr>
        <w:t xml:space="preserve">, </w:t>
      </w:r>
      <w:r w:rsidR="00D95AF1">
        <w:rPr>
          <w:lang w:val="de-DE"/>
        </w:rPr>
        <w:t>S.</w:t>
      </w:r>
      <w:r w:rsidR="00C82930">
        <w:rPr>
          <w:lang w:val="de-DE"/>
        </w:rPr>
        <w:t> </w:t>
      </w:r>
      <w:r w:rsidR="00712A80">
        <w:rPr>
          <w:lang w:val="de-DE"/>
        </w:rPr>
        <w:t>65</w:t>
      </w:r>
      <w:r w:rsidR="00D95AF1">
        <w:rPr>
          <w:lang w:val="de-DE"/>
        </w:rPr>
        <w:t>.</w:t>
      </w:r>
    </w:p>
    <w:p w14:paraId="28E29E82" w14:textId="7B2D23EE" w:rsidR="00C82930" w:rsidRPr="00D95AF1" w:rsidRDefault="00C568E7" w:rsidP="00E955B0">
      <w:pPr>
        <w:pStyle w:val="Eingerckt"/>
        <w:spacing w:after="480"/>
      </w:pPr>
      <w:r>
        <w:rPr>
          <w:smallCaps/>
          <w:lang w:val="de-DE"/>
        </w:rPr>
        <w:t>Roberto</w:t>
      </w:r>
      <w:r w:rsidR="00C82930">
        <w:rPr>
          <w:lang w:val="de-DE"/>
        </w:rPr>
        <w:t>, SBT 2017, S. </w:t>
      </w:r>
      <w:r>
        <w:rPr>
          <w:lang w:val="de-DE"/>
        </w:rPr>
        <w:t>130</w:t>
      </w:r>
      <w:r w:rsidR="00C82930">
        <w:rPr>
          <w:lang w:val="de-DE"/>
        </w:rPr>
        <w:t>.</w:t>
      </w:r>
    </w:p>
    <w:p w14:paraId="0B88BBA1" w14:textId="53CF3785" w:rsidR="00FF5C0A" w:rsidRPr="00E73AAF" w:rsidRDefault="002B6EC9" w:rsidP="00E73AAF">
      <w:r w:rsidRPr="00C819BF">
        <w:rPr>
          <w:bCs/>
        </w:rPr>
        <w:t>Beiträge in</w:t>
      </w:r>
      <w:r w:rsidR="00D95AF1">
        <w:rPr>
          <w:b/>
        </w:rPr>
        <w:t xml:space="preserve"> </w:t>
      </w:r>
      <w:r w:rsidR="00D95AF1" w:rsidRPr="003967BC">
        <w:rPr>
          <w:b/>
        </w:rPr>
        <w:t>anderen</w:t>
      </w:r>
      <w:r w:rsidRPr="008D0EA2">
        <w:rPr>
          <w:b/>
        </w:rPr>
        <w:t xml:space="preserve"> Sammelwerken</w:t>
      </w:r>
      <w:r w:rsidRPr="008D0EA2">
        <w:t xml:space="preserve"> werden – wie ganze Bücher – mit einem Kurztitel zitiert, der sich an den </w:t>
      </w:r>
      <w:r w:rsidR="00D95AF1">
        <w:t>Beitragstitel</w:t>
      </w:r>
      <w:r w:rsidR="00D95AF1" w:rsidRPr="008D0EA2">
        <w:t xml:space="preserve"> </w:t>
      </w:r>
      <w:r w:rsidRPr="008D0EA2">
        <w:t>anlehnt:</w:t>
      </w:r>
    </w:p>
    <w:p w14:paraId="74BE6A5B" w14:textId="047766EA" w:rsidR="00FF5C0A" w:rsidRPr="00E73AAF" w:rsidRDefault="002B6EC9" w:rsidP="00E955B0">
      <w:pPr>
        <w:pStyle w:val="Eingerckt"/>
        <w:spacing w:after="480"/>
      </w:pPr>
      <w:r w:rsidRPr="00E73AAF">
        <w:rPr>
          <w:smallCaps/>
        </w:rPr>
        <w:t>Tschannen</w:t>
      </w:r>
      <w:r w:rsidRPr="008D0EA2">
        <w:t>, Verfassungsauslegung, § 9 S. 155.</w:t>
      </w:r>
    </w:p>
    <w:p w14:paraId="3A913A55" w14:textId="4AB60AA7" w:rsidR="00FF5C0A" w:rsidRPr="00E73AAF" w:rsidRDefault="002B6EC9" w:rsidP="00E73AAF">
      <w:r w:rsidRPr="008D0EA2">
        <w:rPr>
          <w:b/>
        </w:rPr>
        <w:lastRenderedPageBreak/>
        <w:t>Material</w:t>
      </w:r>
      <w:r w:rsidR="006002D4">
        <w:rPr>
          <w:b/>
        </w:rPr>
        <w:t>i</w:t>
      </w:r>
      <w:r w:rsidRPr="008D0EA2">
        <w:rPr>
          <w:b/>
        </w:rPr>
        <w:t>en</w:t>
      </w:r>
      <w:r w:rsidRPr="008D0EA2">
        <w:t xml:space="preserve"> werden ebenfalls mit Kurztiteln zitiert, gegebenenfalls in abgekürzter Form:</w:t>
      </w:r>
    </w:p>
    <w:p w14:paraId="7077AABD" w14:textId="77777777" w:rsidR="002B6EC9" w:rsidRPr="008D0EA2" w:rsidRDefault="002B6EC9" w:rsidP="00E73AAF">
      <w:pPr>
        <w:pStyle w:val="Eingerckt"/>
      </w:pPr>
      <w:r w:rsidRPr="009D39DA">
        <w:t>Botschaft</w:t>
      </w:r>
      <w:r w:rsidRPr="00DB6606">
        <w:t xml:space="preserve"> </w:t>
      </w:r>
      <w:r w:rsidRPr="008D0EA2">
        <w:t>zum BankG, BBl 1934 I, S. 180.</w:t>
      </w:r>
    </w:p>
    <w:p w14:paraId="39DE0906" w14:textId="77777777" w:rsidR="002B6EC9" w:rsidRPr="008D0EA2" w:rsidRDefault="002B6EC9" w:rsidP="00FF5C0A">
      <w:pPr>
        <w:tabs>
          <w:tab w:val="clear" w:pos="397"/>
          <w:tab w:val="left" w:pos="426"/>
        </w:tabs>
        <w:spacing w:before="120" w:line="288" w:lineRule="auto"/>
        <w:ind w:left="993" w:hanging="426"/>
        <w:contextualSpacing/>
        <w:rPr>
          <w:rFonts w:cs="Times New Roman"/>
          <w:szCs w:val="24"/>
        </w:rPr>
      </w:pPr>
      <w:r w:rsidRPr="009D39DA">
        <w:rPr>
          <w:rFonts w:cs="Times New Roman"/>
          <w:szCs w:val="24"/>
        </w:rPr>
        <w:t>Botschaft</w:t>
      </w:r>
      <w:r w:rsidRPr="00DB6606">
        <w:rPr>
          <w:rFonts w:cs="Times New Roman"/>
          <w:szCs w:val="24"/>
        </w:rPr>
        <w:t xml:space="preserve"> </w:t>
      </w:r>
      <w:r w:rsidRPr="008D0EA2">
        <w:rPr>
          <w:rFonts w:cs="Times New Roman"/>
          <w:szCs w:val="24"/>
        </w:rPr>
        <w:t>Revision StGB, BBl 1999, S. 2003 f.</w:t>
      </w:r>
    </w:p>
    <w:p w14:paraId="160D0878" w14:textId="72E2A838" w:rsidR="002B6EC9" w:rsidRPr="00E73AAF" w:rsidRDefault="002B6EC9" w:rsidP="00E73AAF">
      <w:pPr>
        <w:pStyle w:val="Eingerckt"/>
      </w:pPr>
      <w:r w:rsidRPr="00E73AAF">
        <w:t>Amtl. Bull. NR 2006, S. 80 f.</w:t>
      </w:r>
      <w:r w:rsidR="003A7983" w:rsidRPr="00E73AAF">
        <w:t xml:space="preserve"> [</w:t>
      </w:r>
      <w:r w:rsidR="003151EE">
        <w:t>M</w:t>
      </w:r>
      <w:r w:rsidR="003A7983" w:rsidRPr="00E73AAF">
        <w:t>öglich wäre ebenfalls die An</w:t>
      </w:r>
      <w:r w:rsidRPr="00E73AAF">
        <w:t>gabe zusätzlicher Informa</w:t>
      </w:r>
      <w:r w:rsidR="006E16DF" w:rsidRPr="00E73AAF">
        <w:t>tionen wie «Votum BR Merz», «Be</w:t>
      </w:r>
      <w:r w:rsidRPr="00E73AAF">
        <w:t>richterstatter Müller», «Kommissionssprecher Müller Philipp», «SR Forster-Vannini» oder «Antrag Wicki»</w:t>
      </w:r>
      <w:r w:rsidR="003151EE">
        <w:t>.</w:t>
      </w:r>
      <w:r w:rsidRPr="00E73AAF">
        <w:t>]</w:t>
      </w:r>
    </w:p>
    <w:p w14:paraId="0D0A9C8B" w14:textId="77777777" w:rsidR="002B6EC9" w:rsidRPr="00E73AAF" w:rsidRDefault="002B6EC9" w:rsidP="00E73AAF">
      <w:pPr>
        <w:pStyle w:val="Eingerckt"/>
      </w:pPr>
      <w:r w:rsidRPr="00E73AAF">
        <w:t>Amtl. Bull. SR 2011, S. 561 f.</w:t>
      </w:r>
    </w:p>
    <w:p w14:paraId="6B2435C5" w14:textId="77777777" w:rsidR="002B6EC9" w:rsidRPr="00E73AAF" w:rsidRDefault="002B6EC9" w:rsidP="00E73AAF">
      <w:pPr>
        <w:pStyle w:val="Eingerckt"/>
      </w:pPr>
      <w:r w:rsidRPr="00E73AAF">
        <w:t>EBK-JB 1999, S. 27.</w:t>
      </w:r>
    </w:p>
    <w:p w14:paraId="672FA606" w14:textId="77777777" w:rsidR="002B6EC9" w:rsidRPr="00E73AAF" w:rsidRDefault="002B6EC9" w:rsidP="00E73AAF">
      <w:pPr>
        <w:pStyle w:val="Eingerckt"/>
      </w:pPr>
      <w:r w:rsidRPr="00E73AAF">
        <w:t>FINMA-RS 08/3 Publikumseinlagen bei Nichtbanken, R</w:t>
      </w:r>
      <w:r w:rsidR="006E16DF" w:rsidRPr="00E73AAF">
        <w:t>n</w:t>
      </w:r>
      <w:r w:rsidRPr="00E73AAF">
        <w:t xml:space="preserve">. 33. </w:t>
      </w:r>
    </w:p>
    <w:p w14:paraId="2A011DE8" w14:textId="77777777" w:rsidR="002B6EC9" w:rsidRPr="00E73AAF" w:rsidRDefault="002B6EC9" w:rsidP="00E73AAF">
      <w:pPr>
        <w:pStyle w:val="Eingerckt"/>
      </w:pPr>
      <w:r w:rsidRPr="00E73AAF">
        <w:t>FINMA-RS 08/3, R</w:t>
      </w:r>
      <w:r w:rsidR="00FF5C0A" w:rsidRPr="00E73AAF">
        <w:t>n</w:t>
      </w:r>
      <w:r w:rsidRPr="00E73AAF">
        <w:t>. 33. [Die FINMA- Rundschreiben können Sie wahlweise mit Kurztitel oder lediglich mit RS-Nr. sowie zitierter R</w:t>
      </w:r>
      <w:r w:rsidR="006E16DF" w:rsidRPr="00E73AAF">
        <w:t>n</w:t>
      </w:r>
      <w:r w:rsidRPr="00E73AAF">
        <w:t>. in den Fussnoten aufführen. Die Zitierweise muss jedoch einheitlich sein.]</w:t>
      </w:r>
    </w:p>
    <w:p w14:paraId="07E50C13" w14:textId="5493313C" w:rsidR="00FF5C0A" w:rsidRPr="00DB6606" w:rsidRDefault="002B6EC9" w:rsidP="00E73AAF">
      <w:pPr>
        <w:pStyle w:val="Eingerckt"/>
      </w:pPr>
      <w:r w:rsidRPr="00DB6606">
        <w:t xml:space="preserve">Europäisches Parlament, Krisenmanagement im Bankensektor, </w:t>
      </w:r>
      <w:r w:rsidR="00E73AAF" w:rsidRPr="00DB6606">
        <w:br/>
      </w:r>
      <w:r w:rsidRPr="00DB6606">
        <w:t>Empfehlung 2.</w:t>
      </w:r>
      <w:r w:rsidR="00FF5C0A" w:rsidRPr="00DB6606">
        <w:t xml:space="preserve"> </w:t>
      </w:r>
    </w:p>
    <w:p w14:paraId="790CF09E" w14:textId="77777777" w:rsidR="002B6EC9" w:rsidRPr="00DB6606" w:rsidRDefault="002B6EC9" w:rsidP="00E73AAF">
      <w:pPr>
        <w:pStyle w:val="Eingerckt"/>
      </w:pPr>
      <w:r w:rsidRPr="00DB6606">
        <w:t>Art. 18 Abs. 1 der RL 2004/39/EG (MIFID).</w:t>
      </w:r>
    </w:p>
    <w:p w14:paraId="0077D4B0" w14:textId="77777777" w:rsidR="002B6EC9" w:rsidRPr="00503107" w:rsidRDefault="002B6EC9" w:rsidP="00E73AAF">
      <w:pPr>
        <w:pStyle w:val="Eingerckt"/>
      </w:pPr>
      <w:r w:rsidRPr="00DB6606">
        <w:t>EU-Kommission, Working</w:t>
      </w:r>
      <w:r w:rsidRPr="00503107">
        <w:t xml:space="preserve"> Paper Gender Balance, S. 9.</w:t>
      </w:r>
    </w:p>
    <w:p w14:paraId="10271E03" w14:textId="77777777" w:rsidR="002B6EC9" w:rsidRPr="00503107" w:rsidRDefault="002B6EC9" w:rsidP="00E73AAF">
      <w:pPr>
        <w:pStyle w:val="Eingerckt"/>
      </w:pPr>
      <w:r w:rsidRPr="00503107">
        <w:t>OECD, Conclusions, S. 13.</w:t>
      </w:r>
    </w:p>
    <w:p w14:paraId="1E48D7A8" w14:textId="2575B423" w:rsidR="00216A84" w:rsidRPr="00E73AAF" w:rsidRDefault="002B6EC9" w:rsidP="00216A84">
      <w:pPr>
        <w:pStyle w:val="Eingerckt"/>
      </w:pPr>
      <w:r w:rsidRPr="00E73AAF">
        <w:t>OECD, Corporate Governance 20</w:t>
      </w:r>
      <w:r w:rsidR="00216A84">
        <w:t>15</w:t>
      </w:r>
      <w:r w:rsidRPr="00E73AAF">
        <w:t xml:space="preserve"> (</w:t>
      </w:r>
      <w:r w:rsidR="00216A84">
        <w:t xml:space="preserve">Fassung </w:t>
      </w:r>
      <w:r w:rsidR="005E54E6">
        <w:t xml:space="preserve">Januar </w:t>
      </w:r>
      <w:r w:rsidR="00216A84">
        <w:t>2016</w:t>
      </w:r>
      <w:r w:rsidRPr="00E73AAF">
        <w:t>), S.</w:t>
      </w:r>
      <w:r w:rsidR="005E54E6">
        <w:t> </w:t>
      </w:r>
      <w:r w:rsidRPr="00E73AAF">
        <w:t>3.</w:t>
      </w:r>
    </w:p>
    <w:p w14:paraId="5319A2FB" w14:textId="77777777" w:rsidR="002B6EC9" w:rsidRPr="00D57D51" w:rsidRDefault="002B6EC9" w:rsidP="001738A0">
      <w:pPr>
        <w:pStyle w:val="berschrift1"/>
        <w:numPr>
          <w:ilvl w:val="0"/>
          <w:numId w:val="8"/>
        </w:numPr>
        <w:spacing w:line="288" w:lineRule="auto"/>
        <w:contextualSpacing/>
        <w:rPr>
          <w:rFonts w:ascii="Times New Roman" w:hAnsi="Times New Roman" w:cs="Times New Roman"/>
        </w:rPr>
      </w:pPr>
      <w:bookmarkStart w:id="32" w:name="_Toc97043983"/>
      <w:r w:rsidRPr="00D57D51">
        <w:rPr>
          <w:rFonts w:ascii="Times New Roman" w:hAnsi="Times New Roman" w:cs="Times New Roman"/>
        </w:rPr>
        <w:t>Rechtsprechungszitate</w:t>
      </w:r>
      <w:bookmarkEnd w:id="32"/>
    </w:p>
    <w:p w14:paraId="198E4EB4" w14:textId="77777777" w:rsidR="002B6EC9" w:rsidRPr="008D0EA2" w:rsidRDefault="002B6EC9" w:rsidP="00E73AAF">
      <w:r w:rsidRPr="008D0EA2">
        <w:t>Anders als bei den bisher behandelten Literaturzitaten stehen die in Bezug genommenen Entscheide gerichtlicher Behörden nicht im Literaturverzeichnis. Rechtsprechungszitate gehören in die Fussnoten, weil sonst der Text zu unübersichtlich würde.</w:t>
      </w:r>
    </w:p>
    <w:p w14:paraId="036E08DD" w14:textId="77777777" w:rsidR="002B6EC9" w:rsidRPr="00D57D51" w:rsidRDefault="002B6EC9" w:rsidP="00F51BE4">
      <w:pPr>
        <w:pStyle w:val="berschrift2"/>
        <w:spacing w:line="288" w:lineRule="auto"/>
        <w:contextualSpacing/>
        <w:rPr>
          <w:rFonts w:ascii="Times New Roman" w:hAnsi="Times New Roman" w:cs="Times New Roman"/>
        </w:rPr>
      </w:pPr>
      <w:bookmarkStart w:id="33" w:name="_Toc97043984"/>
      <w:r w:rsidRPr="00D57D51">
        <w:rPr>
          <w:rFonts w:ascii="Times New Roman" w:hAnsi="Times New Roman" w:cs="Times New Roman"/>
        </w:rPr>
        <w:lastRenderedPageBreak/>
        <w:t>1.</w:t>
      </w:r>
      <w:r w:rsidRPr="00D57D51">
        <w:rPr>
          <w:rFonts w:ascii="Times New Roman" w:hAnsi="Times New Roman" w:cs="Times New Roman"/>
        </w:rPr>
        <w:tab/>
        <w:t>Schweizer Gerichte</w:t>
      </w:r>
      <w:bookmarkEnd w:id="33"/>
    </w:p>
    <w:p w14:paraId="2F56C5FA" w14:textId="77777777" w:rsidR="002B6EC9" w:rsidRPr="008D0EA2" w:rsidRDefault="002B6EC9" w:rsidP="00E73AAF">
      <w:r w:rsidRPr="008D0EA2">
        <w:t>Die Zitierweise richtet sich nach den je eigenen Konventionen der Gerichtsbarkeit und variiert zudem je nach Publikationsform.</w:t>
      </w:r>
      <w:r w:rsidR="003A7983" w:rsidRPr="008D0EA2">
        <w:rPr>
          <w:rFonts w:eastAsia="Times New Roman"/>
          <w:position w:val="6"/>
          <w:vertAlign w:val="superscript"/>
          <w:lang w:val="de-DE" w:eastAsia="de-CH"/>
        </w:rPr>
        <w:footnoteReference w:id="15"/>
      </w:r>
      <w:r w:rsidRPr="008D0EA2">
        <w:rPr>
          <w:vertAlign w:val="superscript"/>
        </w:rPr>
        <w:t xml:space="preserve"> </w:t>
      </w:r>
    </w:p>
    <w:p w14:paraId="2EF5CA6F" w14:textId="77777777" w:rsidR="002B6EC9" w:rsidRPr="00D57D51" w:rsidRDefault="002B6EC9" w:rsidP="00F51BE4">
      <w:pPr>
        <w:pStyle w:val="berschrift3"/>
        <w:spacing w:line="288" w:lineRule="auto"/>
        <w:contextualSpacing/>
        <w:rPr>
          <w:rFonts w:ascii="Times New Roman" w:hAnsi="Times New Roman" w:cs="Times New Roman"/>
        </w:rPr>
      </w:pPr>
      <w:bookmarkStart w:id="34" w:name="_Toc97043985"/>
      <w:r w:rsidRPr="00D57D51">
        <w:rPr>
          <w:rFonts w:ascii="Times New Roman" w:hAnsi="Times New Roman" w:cs="Times New Roman"/>
        </w:rPr>
        <w:t>a)</w:t>
      </w:r>
      <w:r w:rsidRPr="00D57D51">
        <w:rPr>
          <w:rFonts w:ascii="Times New Roman" w:hAnsi="Times New Roman" w:cs="Times New Roman"/>
        </w:rPr>
        <w:tab/>
        <w:t>Amtliche Sammlungen</w:t>
      </w:r>
      <w:bookmarkEnd w:id="34"/>
    </w:p>
    <w:p w14:paraId="2BAC41C8" w14:textId="1610B7CB" w:rsidR="00B66876" w:rsidRDefault="002B6EC9" w:rsidP="00E73AAF">
      <w:r w:rsidRPr="008D0EA2">
        <w:t>Wann immer möglich, insbesondere bei allen publizierten Entscheiden des Bundesgerichts, ist nach der amtlichen Sammlung zu zitieren.</w:t>
      </w:r>
      <w:r w:rsidR="00A331FC">
        <w:t xml:space="preserve"> </w:t>
      </w:r>
      <w:r w:rsidR="00A331FC" w:rsidRPr="008D0EA2">
        <w:t xml:space="preserve">Bei besonders bekannten Entscheiden </w:t>
      </w:r>
      <w:r w:rsidR="00A331FC">
        <w:t>kann</w:t>
      </w:r>
      <w:r w:rsidR="00A331FC" w:rsidRPr="008D0EA2">
        <w:t xml:space="preserve"> man zusätzlich eine Kurzbezeichnung</w:t>
      </w:r>
      <w:r w:rsidR="00A331FC">
        <w:t xml:space="preserve"> verwenden</w:t>
      </w:r>
      <w:r w:rsidR="00A331FC" w:rsidRPr="008D0EA2">
        <w:t>.</w:t>
      </w:r>
    </w:p>
    <w:p w14:paraId="65700E17" w14:textId="71E3DE0A" w:rsidR="00B66876" w:rsidRDefault="00181B99" w:rsidP="00105D2B">
      <w:pPr>
        <w:pStyle w:val="Eingerckt"/>
      </w:pPr>
      <w:r w:rsidRPr="00105D2B">
        <w:t xml:space="preserve">BGE 123 II 9 E. </w:t>
      </w:r>
      <w:proofErr w:type="gramStart"/>
      <w:r w:rsidRPr="00105D2B">
        <w:t>2</w:t>
      </w:r>
      <w:proofErr w:type="gramEnd"/>
      <w:r w:rsidRPr="00105D2B">
        <w:t xml:space="preserve"> S. 11.</w:t>
      </w:r>
    </w:p>
    <w:p w14:paraId="4DCA1414" w14:textId="5C711336" w:rsidR="00A331FC" w:rsidRDefault="00A331FC" w:rsidP="00E45A4D">
      <w:pPr>
        <w:pStyle w:val="Eingerckt"/>
        <w:spacing w:after="480"/>
      </w:pPr>
      <w:r w:rsidRPr="008A5020">
        <w:t>BGE 117 Ib 367 E. 2e S. 373 – Eidg. Steuerverwaltung</w:t>
      </w:r>
      <w:r>
        <w:t>.</w:t>
      </w:r>
    </w:p>
    <w:p w14:paraId="5D4F4575" w14:textId="77777777" w:rsidR="002B6EC9" w:rsidRPr="00D57D51" w:rsidRDefault="002B6EC9" w:rsidP="00F51BE4">
      <w:pPr>
        <w:pStyle w:val="berschrift3"/>
        <w:spacing w:line="288" w:lineRule="auto"/>
        <w:contextualSpacing/>
        <w:rPr>
          <w:rFonts w:ascii="Times New Roman" w:hAnsi="Times New Roman" w:cs="Times New Roman"/>
        </w:rPr>
      </w:pPr>
      <w:bookmarkStart w:id="35" w:name="_Toc97043986"/>
      <w:r w:rsidRPr="00D57D51">
        <w:rPr>
          <w:rFonts w:ascii="Times New Roman" w:hAnsi="Times New Roman" w:cs="Times New Roman"/>
        </w:rPr>
        <w:t>b)</w:t>
      </w:r>
      <w:r w:rsidRPr="00D57D51">
        <w:rPr>
          <w:rFonts w:ascii="Times New Roman" w:hAnsi="Times New Roman" w:cs="Times New Roman"/>
        </w:rPr>
        <w:tab/>
        <w:t>Zeitschriften</w:t>
      </w:r>
      <w:bookmarkEnd w:id="35"/>
    </w:p>
    <w:p w14:paraId="45288D0B" w14:textId="2C7FF1ED" w:rsidR="002B6EC9" w:rsidRPr="008D0EA2" w:rsidRDefault="002B6EC9" w:rsidP="00E73AAF">
      <w:r w:rsidRPr="008D0EA2">
        <w:t>Generell gilt, dass Rechtsprechung nur dann nach Zeitschriften zitiert werden darf, wenn es keine Publikation in der amtlichen Sammlung gibt. Eine Zeitschriftenübersetzung kann zusätzlich angegeben werden. Rechtsprechungszitate in Zeitschriften erfolgen mit Gerichtsangabe, Dossiernummer, Zeitschriftenkürzel, Anfangs</w:t>
      </w:r>
      <w:r w:rsidR="006002D4">
        <w:t>-</w:t>
      </w:r>
      <w:r w:rsidRPr="008D0EA2">
        <w:t xml:space="preserve"> und Zitatseite.</w:t>
      </w:r>
      <w:r w:rsidR="003A7983" w:rsidRPr="008D0EA2">
        <w:rPr>
          <w:rFonts w:eastAsia="Times New Roman"/>
          <w:position w:val="6"/>
          <w:vertAlign w:val="superscript"/>
          <w:lang w:val="de-DE" w:eastAsia="de-CH"/>
        </w:rPr>
        <w:footnoteReference w:id="16"/>
      </w:r>
      <w:r w:rsidRPr="008D0EA2">
        <w:rPr>
          <w:vertAlign w:val="superscript"/>
        </w:rPr>
        <w:t xml:space="preserve"> </w:t>
      </w:r>
    </w:p>
    <w:p w14:paraId="3FB7BC48" w14:textId="77777777" w:rsidR="002B6EC9" w:rsidRPr="00D57D51" w:rsidRDefault="002B6EC9" w:rsidP="00F51BE4">
      <w:pPr>
        <w:pStyle w:val="berschrift3"/>
        <w:spacing w:line="288" w:lineRule="auto"/>
        <w:contextualSpacing/>
        <w:rPr>
          <w:rFonts w:ascii="Times New Roman" w:hAnsi="Times New Roman" w:cs="Times New Roman"/>
        </w:rPr>
      </w:pPr>
      <w:bookmarkStart w:id="36" w:name="_Toc97043987"/>
      <w:r w:rsidRPr="00D57D51">
        <w:rPr>
          <w:rFonts w:ascii="Times New Roman" w:hAnsi="Times New Roman" w:cs="Times New Roman"/>
        </w:rPr>
        <w:t>c)</w:t>
      </w:r>
      <w:r w:rsidRPr="00D57D51">
        <w:rPr>
          <w:rFonts w:ascii="Times New Roman" w:hAnsi="Times New Roman" w:cs="Times New Roman"/>
        </w:rPr>
        <w:tab/>
        <w:t>Internet</w:t>
      </w:r>
      <w:bookmarkEnd w:id="36"/>
    </w:p>
    <w:p w14:paraId="06BEF578" w14:textId="5E182C1A" w:rsidR="002B6EC9" w:rsidRDefault="002B6EC9" w:rsidP="00E73AAF">
      <w:r w:rsidRPr="008D0EA2">
        <w:t>Entscheide, die laut Internet-Ankündigung nicht zur amtlichen Publikation vorgesehen sind, können immer nach der Internetquelle zitiert werden – also selbst dann, wenn sie in Zeitschriften abgedruckt sein sollten. Hier wird das Kürzel «BGer» verwendet.</w:t>
      </w:r>
      <w:r w:rsidRPr="00F52D0A">
        <w:t xml:space="preserve"> </w:t>
      </w:r>
      <w:r w:rsidR="00F52D0A" w:rsidRPr="00F52D0A">
        <w:t>So</w:t>
      </w:r>
      <w:r w:rsidR="00F52D0A">
        <w:t>fern sie zur amtlichen Publikation vorgesehen sind, wird dies in Klammer vermerkt.</w:t>
      </w:r>
      <w:r w:rsidR="0082391F">
        <w:t xml:space="preserve"> Häufig erscheint in der amtlichen Publikation nicht der gesamte Entscheid mit allen Erwägungen. Falls eine Erwägung zitiert wird, die nicht in der amtlichen Publikation erscheint, ist dies ebenfalls zu kennzeichnen. </w:t>
      </w:r>
    </w:p>
    <w:p w14:paraId="5D412CCB" w14:textId="00D0A3F0" w:rsidR="00F52D0A" w:rsidRDefault="006E165F" w:rsidP="006E165F">
      <w:pPr>
        <w:pStyle w:val="Eingerckt"/>
      </w:pPr>
      <w:r>
        <w:t>BGer Urteil 4A_375/2010 vom 22. November 2010 E. 3.1.</w:t>
      </w:r>
    </w:p>
    <w:p w14:paraId="0883AD23" w14:textId="4F46A406" w:rsidR="006E165F" w:rsidRDefault="00D80353" w:rsidP="006E165F">
      <w:pPr>
        <w:pStyle w:val="Eingerckt"/>
      </w:pPr>
      <w:r>
        <w:lastRenderedPageBreak/>
        <w:t xml:space="preserve">BGer Urteil 4A_504/2018 </w:t>
      </w:r>
      <w:r w:rsidR="00215A87">
        <w:t xml:space="preserve">vom </w:t>
      </w:r>
      <w:r w:rsidR="009344E0">
        <w:t xml:space="preserve">10. Dezember 2019 </w:t>
      </w:r>
      <w:r>
        <w:t>E. 3.2.1 (</w:t>
      </w:r>
      <w:r w:rsidR="0082391F">
        <w:t>zur Publikation vorgesehen</w:t>
      </w:r>
      <w:r>
        <w:t>)</w:t>
      </w:r>
      <w:r w:rsidR="00A331FC">
        <w:t>.</w:t>
      </w:r>
    </w:p>
    <w:p w14:paraId="4515EF85" w14:textId="640F512B" w:rsidR="0082391F" w:rsidRPr="008D0EA2" w:rsidRDefault="0082391F" w:rsidP="0082391F">
      <w:pPr>
        <w:pStyle w:val="Eingerckt"/>
      </w:pPr>
      <w:r>
        <w:t xml:space="preserve">BGer Urteil 4A_206/2010 E. 4.1.2 vom </w:t>
      </w:r>
      <w:r w:rsidR="00DC0102">
        <w:t>15. Dezember 2010</w:t>
      </w:r>
      <w:r>
        <w:t xml:space="preserve"> (insoweit nicht in BGE 137 III 158)</w:t>
      </w:r>
      <w:r w:rsidR="00A331FC">
        <w:t>.</w:t>
      </w:r>
    </w:p>
    <w:p w14:paraId="66DBB1DE" w14:textId="753AE812" w:rsidR="002B6EC9" w:rsidRPr="00D57D51" w:rsidRDefault="002B6EC9" w:rsidP="00F51BE4">
      <w:pPr>
        <w:pStyle w:val="berschrift2"/>
        <w:spacing w:line="288" w:lineRule="auto"/>
        <w:contextualSpacing/>
        <w:rPr>
          <w:rFonts w:ascii="Times New Roman" w:hAnsi="Times New Roman" w:cs="Times New Roman"/>
        </w:rPr>
      </w:pPr>
      <w:bookmarkStart w:id="37" w:name="_Toc97043988"/>
      <w:r w:rsidRPr="00D57D51">
        <w:rPr>
          <w:rFonts w:ascii="Times New Roman" w:hAnsi="Times New Roman" w:cs="Times New Roman"/>
        </w:rPr>
        <w:t>2.</w:t>
      </w:r>
      <w:r w:rsidRPr="00D57D51">
        <w:rPr>
          <w:rFonts w:ascii="Times New Roman" w:hAnsi="Times New Roman" w:cs="Times New Roman"/>
        </w:rPr>
        <w:tab/>
        <w:t>Gerichte der Europäische</w:t>
      </w:r>
      <w:r w:rsidR="008562C2">
        <w:rPr>
          <w:rFonts w:ascii="Times New Roman" w:hAnsi="Times New Roman" w:cs="Times New Roman"/>
        </w:rPr>
        <w:t>n</w:t>
      </w:r>
      <w:r w:rsidRPr="00D57D51">
        <w:rPr>
          <w:rFonts w:ascii="Times New Roman" w:hAnsi="Times New Roman" w:cs="Times New Roman"/>
        </w:rPr>
        <w:t xml:space="preserve"> Union</w:t>
      </w:r>
      <w:bookmarkEnd w:id="37"/>
    </w:p>
    <w:p w14:paraId="1543711C" w14:textId="77777777" w:rsidR="002B6EC9" w:rsidRPr="008D0EA2" w:rsidRDefault="002B6EC9" w:rsidP="00E73AAF">
      <w:r w:rsidRPr="008D0EA2">
        <w:t>Für Entscheidungen der Gerichte der Europäischen Union gibt es eine amtliche Sammlung, die seit 1990 durch die Einführung des Gerichts erster Instanz einen Teil II erhalten hat, so dass die Entscheidungen des Europäischen Gerichtshofs seitdem mit einer «I» gekennzeichnet sind.</w:t>
      </w:r>
      <w:r w:rsidR="003A7983" w:rsidRPr="008D0EA2">
        <w:rPr>
          <w:rFonts w:eastAsia="Times New Roman"/>
          <w:position w:val="6"/>
          <w:vertAlign w:val="superscript"/>
          <w:lang w:val="de-DE" w:eastAsia="de-CH"/>
        </w:rPr>
        <w:footnoteReference w:id="17"/>
      </w:r>
      <w:r w:rsidRPr="008D0EA2">
        <w:t xml:space="preserve"> Konventionsgemäss wird der Band nicht erwähnt, weil die Seitenzahlen nach Jahrgängen durchlaufend nu</w:t>
      </w:r>
      <w:r w:rsidR="003E71FA" w:rsidRPr="008D0EA2">
        <w:t>m</w:t>
      </w:r>
      <w:r w:rsidRPr="008D0EA2">
        <w:t>meriert sind,</w:t>
      </w:r>
      <w:r w:rsidR="00D57D51" w:rsidRPr="008D0EA2">
        <w:t xml:space="preserve"> so dass die Anfangsseite genügt. Bekannte Entschei</w:t>
      </w:r>
      <w:r w:rsidRPr="008D0EA2">
        <w:t>de tragen eine freie Kurzbezeichnung, häufig die Parteienbezeichnung (mit Schrägstrich) oder nur die Klägerseite, die dann kursiv gesetzt wird.</w:t>
      </w:r>
      <w:r w:rsidR="003A7983" w:rsidRPr="008D0EA2">
        <w:rPr>
          <w:rFonts w:eastAsia="Times New Roman"/>
          <w:position w:val="6"/>
          <w:vertAlign w:val="superscript"/>
          <w:lang w:val="de-DE" w:eastAsia="de-CH"/>
        </w:rPr>
        <w:footnoteReference w:id="18"/>
      </w:r>
      <w:r w:rsidR="003A7983" w:rsidRPr="008D0EA2">
        <w:t xml:space="preserve"> </w:t>
      </w:r>
      <w:proofErr w:type="gramStart"/>
      <w:r w:rsidRPr="008D0EA2">
        <w:t>Gelegentlich</w:t>
      </w:r>
      <w:proofErr w:type="gramEnd"/>
      <w:r w:rsidRPr="008D0EA2">
        <w:t xml:space="preserve"> wird auch nur nach Seiten oder mit zusätzlicher Seitenangabe zitiert.</w:t>
      </w:r>
      <w:r w:rsidR="007C5BD3" w:rsidRPr="008D0EA2">
        <w:rPr>
          <w:rFonts w:eastAsia="Times New Roman"/>
          <w:position w:val="6"/>
          <w:vertAlign w:val="superscript"/>
          <w:lang w:val="de-DE" w:eastAsia="de-CH"/>
        </w:rPr>
        <w:footnoteReference w:id="19"/>
      </w:r>
      <w:r w:rsidRPr="008D0EA2">
        <w:rPr>
          <w:vertAlign w:val="superscript"/>
        </w:rPr>
        <w:t xml:space="preserve"> </w:t>
      </w:r>
    </w:p>
    <w:p w14:paraId="57570262" w14:textId="77777777" w:rsidR="002B6EC9" w:rsidRPr="00D57D51" w:rsidRDefault="002B6EC9" w:rsidP="00F51BE4">
      <w:pPr>
        <w:pStyle w:val="berschrift2"/>
        <w:spacing w:line="288" w:lineRule="auto"/>
        <w:contextualSpacing/>
        <w:rPr>
          <w:rFonts w:ascii="Times New Roman" w:hAnsi="Times New Roman" w:cs="Times New Roman"/>
        </w:rPr>
      </w:pPr>
      <w:bookmarkStart w:id="38" w:name="_Toc97043989"/>
      <w:r w:rsidRPr="00D57D51">
        <w:rPr>
          <w:rFonts w:ascii="Times New Roman" w:hAnsi="Times New Roman" w:cs="Times New Roman"/>
        </w:rPr>
        <w:t>3.</w:t>
      </w:r>
      <w:r w:rsidRPr="00D57D51">
        <w:rPr>
          <w:rFonts w:ascii="Times New Roman" w:hAnsi="Times New Roman" w:cs="Times New Roman"/>
        </w:rPr>
        <w:tab/>
        <w:t>Deutsche Gerichte</w:t>
      </w:r>
      <w:bookmarkEnd w:id="38"/>
    </w:p>
    <w:p w14:paraId="400340D2" w14:textId="77777777" w:rsidR="002B6EC9" w:rsidRPr="008D0EA2" w:rsidRDefault="002B6EC9" w:rsidP="00E73AAF">
      <w:r w:rsidRPr="008D0EA2">
        <w:t>In Deutschland zitiert man die Urteile des Bundesgerichtshofs mit der Reihenfolge: Band, Startseite, Zitatseite.</w:t>
      </w:r>
      <w:r w:rsidR="007C5BD3" w:rsidRPr="008D0EA2">
        <w:rPr>
          <w:rFonts w:eastAsia="Times New Roman"/>
          <w:position w:val="6"/>
          <w:vertAlign w:val="superscript"/>
          <w:lang w:val="de-DE" w:eastAsia="de-CH"/>
        </w:rPr>
        <w:footnoteReference w:id="20"/>
      </w:r>
      <w:r w:rsidRPr="008D0EA2">
        <w:t xml:space="preserve"> Wenn es sich um ganz neue Entscheidungen oder um unpublizierte Kammerbeschlüsse handelt, ist es zulässig, die genaue Bezeichnung mit der Internetquelle zu nennen.</w:t>
      </w:r>
      <w:r w:rsidR="007C5BD3" w:rsidRPr="008D0EA2">
        <w:rPr>
          <w:rFonts w:eastAsia="Times New Roman"/>
          <w:position w:val="6"/>
          <w:vertAlign w:val="superscript"/>
          <w:lang w:val="de-DE" w:eastAsia="de-CH"/>
        </w:rPr>
        <w:footnoteReference w:id="21"/>
      </w:r>
      <w:r w:rsidRPr="008D0EA2">
        <w:t xml:space="preserve"> Entsprechend verfährt man, wenn eine Entscheidung nur in Fachzeitschriften abgedruckt ist, wobei in Deutschland für Rechtsprechungszitate auf das «in:» verzichtet wird.</w:t>
      </w:r>
      <w:r w:rsidR="007C5BD3" w:rsidRPr="008D0EA2">
        <w:rPr>
          <w:rFonts w:eastAsia="Times New Roman"/>
          <w:position w:val="6"/>
          <w:vertAlign w:val="superscript"/>
          <w:lang w:val="de-DE" w:eastAsia="de-CH"/>
        </w:rPr>
        <w:footnoteReference w:id="22"/>
      </w:r>
      <w:r w:rsidRPr="008D0EA2">
        <w:t xml:space="preserve"> Als Regel gilt auch hier: Amtliche Publikationen gehen Zeitschriftenpublikationen vor.</w:t>
      </w:r>
    </w:p>
    <w:p w14:paraId="57DA7C3F" w14:textId="77777777" w:rsidR="002B6EC9" w:rsidRPr="00D57D51" w:rsidRDefault="002B6EC9" w:rsidP="001738A0">
      <w:pPr>
        <w:pStyle w:val="berschrift1"/>
        <w:numPr>
          <w:ilvl w:val="0"/>
          <w:numId w:val="8"/>
        </w:numPr>
        <w:spacing w:line="288" w:lineRule="auto"/>
        <w:contextualSpacing/>
        <w:rPr>
          <w:rFonts w:ascii="Times New Roman" w:hAnsi="Times New Roman" w:cs="Times New Roman"/>
        </w:rPr>
      </w:pPr>
      <w:bookmarkStart w:id="39" w:name="_Toc97043990"/>
      <w:r w:rsidRPr="00D57D51">
        <w:rPr>
          <w:rFonts w:ascii="Times New Roman" w:hAnsi="Times New Roman" w:cs="Times New Roman"/>
        </w:rPr>
        <w:lastRenderedPageBreak/>
        <w:t>Normzitate</w:t>
      </w:r>
      <w:bookmarkEnd w:id="39"/>
    </w:p>
    <w:p w14:paraId="11A1DDB7" w14:textId="7762206D" w:rsidR="00EF0CF0" w:rsidRPr="0077431A" w:rsidRDefault="002B6EC9" w:rsidP="0077431A">
      <w:r w:rsidRPr="008D0EA2">
        <w:t xml:space="preserve">Normzitate sind im Text (und nicht in den Fussnoten) einzufügen, wann immer auf eine Rechtsvorschrift inhaltlich Bezug genommen wird. Zu den </w:t>
      </w:r>
      <w:r w:rsidR="00F73B9B">
        <w:t xml:space="preserve">häufigsten Fehlern </w:t>
      </w:r>
      <w:r w:rsidRPr="008D0EA2">
        <w:t>gehört es, Kommentierungen oder Literatur für Aussagen zu verwenden, die sich bereits aus dem Gesetz ergeben. Solche Zitate sind falsch, weil nicht die eigentliche Quelle der Aussage verwendet wird. In solchen Fällen muss ein Normzitat erfolgen. Literatur darf nur dann zusätzlich erwähnt sein, wenn sie weiterführende Aussagen zur Norm enthält (z.B. Kasuistik, Interpretation).</w:t>
      </w:r>
    </w:p>
    <w:p w14:paraId="27BE1AC4" w14:textId="40C5E3F6" w:rsidR="003E71FA" w:rsidRPr="00E73AAF" w:rsidRDefault="00D57D51" w:rsidP="00E73AAF">
      <w:r w:rsidRPr="008D0EA2">
        <w:t>Normzitate sind mit Klam</w:t>
      </w:r>
      <w:r w:rsidR="002B6EC9" w:rsidRPr="008D0EA2">
        <w:t>mer</w:t>
      </w:r>
      <w:r w:rsidRPr="008D0EA2">
        <w:t>zusätzen (Art. 5 Abs. </w:t>
      </w:r>
      <w:r w:rsidR="002B6EC9" w:rsidRPr="008D0EA2">
        <w:t>3 BV) im Text zu versehen. Bei kantonalen Erlassen tritt zum Gesetzeskürzel das Kantonskürzel hinzu (Art.</w:t>
      </w:r>
      <w:r w:rsidRPr="008D0EA2">
        <w:t> </w:t>
      </w:r>
      <w:r w:rsidR="002B6EC9" w:rsidRPr="008D0EA2">
        <w:t>4 Abs.</w:t>
      </w:r>
      <w:r w:rsidRPr="008D0EA2">
        <w:t> 2 BE-MaSG)</w:t>
      </w:r>
      <w:r w:rsidR="007C5BD3" w:rsidRPr="008D0EA2">
        <w:t>.</w:t>
      </w:r>
      <w:r w:rsidR="007C5BD3" w:rsidRPr="008D0EA2">
        <w:rPr>
          <w:rFonts w:eastAsia="Times New Roman"/>
          <w:position w:val="6"/>
          <w:vertAlign w:val="superscript"/>
          <w:lang w:eastAsia="de-CH"/>
        </w:rPr>
        <w:footnoteReference w:id="23"/>
      </w:r>
      <w:r w:rsidRPr="008D0EA2">
        <w:t xml:space="preserve"> </w:t>
      </w:r>
      <w:r w:rsidR="002B6EC9" w:rsidRPr="008D0EA2">
        <w:t>Für amtliche Quellen gibt es regelmässig Zitierkonventionen mit Abkürzungen.</w:t>
      </w:r>
      <w:r w:rsidR="007C5BD3" w:rsidRPr="008D0EA2">
        <w:rPr>
          <w:rFonts w:eastAsia="Times New Roman"/>
          <w:position w:val="6"/>
          <w:vertAlign w:val="superscript"/>
          <w:lang w:eastAsia="de-CH"/>
        </w:rPr>
        <w:footnoteReference w:id="24"/>
      </w:r>
      <w:r w:rsidR="007C5BD3" w:rsidRPr="008D0EA2">
        <w:rPr>
          <w:rFonts w:eastAsia="Times New Roman"/>
          <w:lang w:eastAsia="de-CH"/>
        </w:rPr>
        <w:t xml:space="preserve"> </w:t>
      </w:r>
      <w:r w:rsidR="002B6EC9" w:rsidRPr="008D0EA2">
        <w:t>Auf frühere Gesetzesfassungen wird durch den Zusatz «a» hingewiesen (Art. 41 aOG). Eigene Abkürzungen darf man nur «erfinden», wenn keine offizielle Abkürzung in der Publikation des Erlasses festgelegt ist.</w:t>
      </w:r>
    </w:p>
    <w:p w14:paraId="2DAC4092" w14:textId="5429B6F4" w:rsidR="003E71FA" w:rsidRPr="00E73AAF" w:rsidRDefault="00D57D51" w:rsidP="00E73AAF">
      <w:r w:rsidRPr="008D0EA2">
        <w:t xml:space="preserve">Es gibt zahlreiche Schreib- </w:t>
      </w:r>
      <w:r w:rsidR="002B6EC9" w:rsidRPr="008D0EA2">
        <w:t>und Abkürzungs</w:t>
      </w:r>
      <w:r w:rsidR="003E71FA" w:rsidRPr="008D0EA2">
        <w:t>varianten für die genaue Absatz</w:t>
      </w:r>
      <w:r w:rsidR="002B6EC9" w:rsidRPr="008D0EA2">
        <w:t xml:space="preserve"> und Seitenbezeichnung: Art. 5 III BV, BV 5 III, Art. 5 (3) BV, Art. 8 III 2 BV, Art. 8 Abs. 3 Satz 2 BV, Art. 41 Abs. 1 lit. b BV u.v.m. </w:t>
      </w:r>
    </w:p>
    <w:p w14:paraId="64B5A91E" w14:textId="5F5C803C" w:rsidR="003E71FA" w:rsidRPr="00E73AAF" w:rsidRDefault="002B6EC9" w:rsidP="00E73AAF">
      <w:r w:rsidRPr="008D0EA2">
        <w:t xml:space="preserve">Für die </w:t>
      </w:r>
      <w:r w:rsidRPr="00E73AAF">
        <w:rPr>
          <w:b/>
        </w:rPr>
        <w:t>Falllösung/Seminararbeit/Masterarbeit</w:t>
      </w:r>
      <w:r w:rsidRPr="008D0EA2">
        <w:t xml:space="preserve"> ist folgende Zitierweise zu verwenden:</w:t>
      </w:r>
      <w:r w:rsidR="00D57D51" w:rsidRPr="008D0EA2">
        <w:t xml:space="preserve"> Art. 3bis Abs. 1 lit. </w:t>
      </w:r>
      <w:r w:rsidRPr="008D0EA2">
        <w:t>b BankG.</w:t>
      </w:r>
    </w:p>
    <w:p w14:paraId="4D14B480" w14:textId="7AB07694" w:rsidR="003E71FA" w:rsidRPr="00E73AAF" w:rsidRDefault="002B6EC9" w:rsidP="00E73AAF">
      <w:r w:rsidRPr="008D0EA2">
        <w:t>Bei ausländischen Gesetzen sind grundsätzlich die im betreffenden Land geltenden Schreib- und Abkürzungsvorschriften zu befolgen:</w:t>
      </w:r>
    </w:p>
    <w:p w14:paraId="5328BF39" w14:textId="5EC20479" w:rsidR="003E71FA" w:rsidRPr="00E73AAF" w:rsidRDefault="00D57D51" w:rsidP="00E73AAF">
      <w:pPr>
        <w:pStyle w:val="Eingerckt"/>
      </w:pPr>
      <w:r w:rsidRPr="008D0EA2">
        <w:t>Beispiel: § 207 Abs. </w:t>
      </w:r>
      <w:r w:rsidR="002B6EC9" w:rsidRPr="008D0EA2">
        <w:t>1 S.</w:t>
      </w:r>
      <w:r w:rsidRPr="008D0EA2">
        <w:t> 2 Nr. 2 lit. </w:t>
      </w:r>
      <w:r w:rsidR="002B6EC9" w:rsidRPr="008D0EA2">
        <w:t>a BGB.</w:t>
      </w:r>
    </w:p>
    <w:p w14:paraId="7FCB9703" w14:textId="543287C6" w:rsidR="003E71FA" w:rsidRPr="00E73AAF" w:rsidRDefault="002B6EC9" w:rsidP="00E73AAF">
      <w:r w:rsidRPr="008D0EA2">
        <w:t>Wird dieselbe Abkürzung in mehreren Ländern verwendet, ist das jeweilige Gesetz mit einer Länderbezeichnung zu präzisieren:</w:t>
      </w:r>
    </w:p>
    <w:p w14:paraId="406D3D5C" w14:textId="02AE6AA4" w:rsidR="002B6EC9" w:rsidRPr="008D0EA2" w:rsidRDefault="002B6EC9" w:rsidP="00E73AAF">
      <w:pPr>
        <w:pStyle w:val="Eingerckt"/>
        <w:rPr>
          <w:lang w:val="en-US"/>
        </w:rPr>
      </w:pPr>
      <w:r w:rsidRPr="008D0EA2">
        <w:rPr>
          <w:lang w:val="en-US"/>
        </w:rPr>
        <w:t xml:space="preserve">Art. 322 </w:t>
      </w:r>
      <w:proofErr w:type="spellStart"/>
      <w:r w:rsidRPr="008D0EA2">
        <w:rPr>
          <w:lang w:val="en-US"/>
        </w:rPr>
        <w:t>CC</w:t>
      </w:r>
      <w:r w:rsidR="002061C9">
        <w:rPr>
          <w:lang w:val="en-US"/>
        </w:rPr>
        <w:t>fr</w:t>
      </w:r>
      <w:proofErr w:type="spellEnd"/>
    </w:p>
    <w:p w14:paraId="39D7C239" w14:textId="6CBED8C1" w:rsidR="002B6EC9" w:rsidRPr="008D0EA2" w:rsidRDefault="002B6EC9" w:rsidP="00E73AAF">
      <w:pPr>
        <w:pStyle w:val="Eingerckt"/>
        <w:rPr>
          <w:lang w:val="en-US"/>
        </w:rPr>
      </w:pPr>
      <w:r w:rsidRPr="008D0EA2">
        <w:rPr>
          <w:lang w:val="en-US"/>
        </w:rPr>
        <w:t xml:space="preserve">Art. 211 </w:t>
      </w:r>
      <w:proofErr w:type="spellStart"/>
      <w:r w:rsidRPr="008D0EA2">
        <w:rPr>
          <w:lang w:val="en-US"/>
        </w:rPr>
        <w:t>CC</w:t>
      </w:r>
      <w:r w:rsidR="002061C9">
        <w:rPr>
          <w:lang w:val="en-US"/>
        </w:rPr>
        <w:t>it</w:t>
      </w:r>
      <w:proofErr w:type="spellEnd"/>
    </w:p>
    <w:p w14:paraId="2542C958" w14:textId="0ED2C280" w:rsidR="002B6EC9" w:rsidRPr="008D0EA2" w:rsidRDefault="002B6EC9" w:rsidP="00E73AAF">
      <w:pPr>
        <w:pStyle w:val="Eingerckt"/>
      </w:pPr>
      <w:r w:rsidRPr="008D0EA2">
        <w:t>Art. 125 CC</w:t>
      </w:r>
      <w:r w:rsidR="002061C9">
        <w:t>es</w:t>
      </w:r>
    </w:p>
    <w:p w14:paraId="0E32F722" w14:textId="77777777" w:rsidR="002B6EC9" w:rsidRPr="00D57D51" w:rsidRDefault="002B6EC9" w:rsidP="001738A0">
      <w:pPr>
        <w:pStyle w:val="berschrift1"/>
        <w:numPr>
          <w:ilvl w:val="0"/>
          <w:numId w:val="8"/>
        </w:numPr>
        <w:spacing w:line="288" w:lineRule="auto"/>
        <w:contextualSpacing/>
        <w:rPr>
          <w:rFonts w:ascii="Times New Roman" w:hAnsi="Times New Roman" w:cs="Times New Roman"/>
        </w:rPr>
      </w:pPr>
      <w:bookmarkStart w:id="40" w:name="_Toc97043991"/>
      <w:r w:rsidRPr="00D57D51">
        <w:rPr>
          <w:rFonts w:ascii="Times New Roman" w:hAnsi="Times New Roman" w:cs="Times New Roman"/>
        </w:rPr>
        <w:lastRenderedPageBreak/>
        <w:t>Abkürzungen</w:t>
      </w:r>
      <w:bookmarkEnd w:id="40"/>
    </w:p>
    <w:p w14:paraId="26604AF4" w14:textId="3B8243E4" w:rsidR="003E71FA" w:rsidRDefault="002B6EC9" w:rsidP="00E73AAF">
      <w:r w:rsidRPr="008D0EA2">
        <w:t>In Falllösungen/Seminar-/Masterarbe</w:t>
      </w:r>
      <w:r w:rsidR="00D57D51" w:rsidRPr="008D0EA2">
        <w:t>iten sind die üblichen Abkürzun</w:t>
      </w:r>
      <w:r w:rsidRPr="008D0EA2">
        <w:t>gen ohne weitere Erläuterung zu verwenden.</w:t>
      </w:r>
      <w:r w:rsidR="00F92CCD" w:rsidRPr="008D0EA2">
        <w:rPr>
          <w:rFonts w:eastAsia="Times New Roman"/>
          <w:position w:val="6"/>
          <w:vertAlign w:val="superscript"/>
          <w:lang w:eastAsia="de-CH"/>
        </w:rPr>
        <w:footnoteReference w:id="25"/>
      </w:r>
      <w:r w:rsidRPr="008D0EA2">
        <w:t xml:space="preserve"> Das gilt vor allem für die Gesetzesbezeichnungen (BV, OG, VwVG) und einige häufig verwendete Standardkürzel (Art., Abs., li</w:t>
      </w:r>
      <w:r w:rsidR="00EF0CF0" w:rsidRPr="008D0EA2">
        <w:t>t., z.B., usw</w:t>
      </w:r>
      <w:r w:rsidR="00D57D51" w:rsidRPr="008D0EA2">
        <w:t>., etc.). Kompli</w:t>
      </w:r>
      <w:r w:rsidRPr="008D0EA2">
        <w:t>zierte Abkürzungen sollten bei der e</w:t>
      </w:r>
      <w:r w:rsidR="00D57D51" w:rsidRPr="008D0EA2">
        <w:t>rsten Nennung erläutert und können danach mehrfach verwendet werden.</w:t>
      </w:r>
      <w:r w:rsidR="00F92CCD" w:rsidRPr="008D0EA2">
        <w:rPr>
          <w:rFonts w:eastAsia="Times New Roman"/>
          <w:position w:val="6"/>
          <w:vertAlign w:val="superscript"/>
          <w:lang w:eastAsia="de-CH"/>
        </w:rPr>
        <w:footnoteReference w:id="26"/>
      </w:r>
      <w:r w:rsidR="00D57D51" w:rsidRPr="008D0EA2">
        <w:rPr>
          <w:vertAlign w:val="superscript"/>
        </w:rPr>
        <w:t xml:space="preserve"> </w:t>
      </w:r>
      <w:r w:rsidRPr="008D0EA2">
        <w:t>Generell gilt, dass der Textfluss möglichst nicht durch Abkürzungen gestört werden sollte, während</w:t>
      </w:r>
      <w:r w:rsidR="00D57D51" w:rsidRPr="008D0EA2">
        <w:t xml:space="preserve"> in den Fussnoten eher davon Ge</w:t>
      </w:r>
      <w:r w:rsidRPr="008D0EA2">
        <w:t>brauch zu machen ist.</w:t>
      </w:r>
      <w:r w:rsidR="001F33CD">
        <w:t xml:space="preserve"> Anders gesagt: Vermeiden Sie im Haupttext Abkürzungen wie: «M.E.», «bzw.»</w:t>
      </w:r>
      <w:r w:rsidR="00574B49">
        <w:t>, «resp.», etc.</w:t>
      </w:r>
    </w:p>
    <w:p w14:paraId="57283D91" w14:textId="228C0D4D" w:rsidR="002B6EC9" w:rsidRDefault="002B6EC9" w:rsidP="00E73AAF">
      <w:r w:rsidRPr="008D0EA2">
        <w:t xml:space="preserve">Zahlen schreibt man bis zum Dutzend </w:t>
      </w:r>
      <w:r w:rsidR="00D57D51" w:rsidRPr="008D0EA2">
        <w:t>als Zahlworte aus, oberhalb die</w:t>
      </w:r>
      <w:r w:rsidRPr="008D0EA2">
        <w:t>ser Grenze hingegen wird auch im Text mit bezifferten Zahlenangab</w:t>
      </w:r>
      <w:r w:rsidR="00D57D51" w:rsidRPr="008D0EA2">
        <w:t>en ge</w:t>
      </w:r>
      <w:r w:rsidRPr="008D0EA2">
        <w:t>arbeitet: «Der Klä</w:t>
      </w:r>
      <w:r w:rsidR="003E71FA" w:rsidRPr="008D0EA2">
        <w:t>ger hat bis zum 13. </w:t>
      </w:r>
      <w:r w:rsidRPr="008D0EA2">
        <w:t>Mai zwölf Schafe von den insgesamt 200 Geschuldeten geliefert.» Bei Datumsangaben werden Datumsnennungen sowohl innerhalb des Textes als auch in den Fu</w:t>
      </w:r>
      <w:r w:rsidR="003E71FA" w:rsidRPr="008D0EA2">
        <w:t>ssnoten ausgeschrieben (z.B. 1. </w:t>
      </w:r>
      <w:r w:rsidRPr="008D0EA2">
        <w:t xml:space="preserve">März 1999). </w:t>
      </w:r>
    </w:p>
    <w:p w14:paraId="71E71371" w14:textId="34E1BEB0" w:rsidR="00EF755D" w:rsidRPr="008D0EA2" w:rsidRDefault="00EF755D" w:rsidP="00E73AAF">
      <w:r>
        <w:t>Das Abkürzungsverzeichnis dient in</w:t>
      </w:r>
      <w:r w:rsidR="00F240FD">
        <w:t>s</w:t>
      </w:r>
      <w:r>
        <w:t xml:space="preserve">besondere dazu, komplizierte oder nicht häufig verwendete Abkürzungen für Organisationen, auf deren Texte Sie Bezug nehmen, zu erläutern. Achten Sie darauf, dass </w:t>
      </w:r>
      <w:r w:rsidR="00F240FD">
        <w:t>S</w:t>
      </w:r>
      <w:r>
        <w:t xml:space="preserve">ie das Abkürzungsverzeichnis nicht als </w:t>
      </w:r>
      <w:r w:rsidR="00F240FD">
        <w:t>«</w:t>
      </w:r>
      <w:r>
        <w:t>copy/paste</w:t>
      </w:r>
      <w:r w:rsidR="00F240FD">
        <w:t>»</w:t>
      </w:r>
      <w:r>
        <w:t>-Übung ansehen, sondern dass Sie diejenigen (Zusatz-)Abkürzungen, die Sie spezifisch verwenden und die gerade nicht üblich sind, in Ihrem Abkürzungsverzeichnis aufführen.</w:t>
      </w:r>
    </w:p>
    <w:p w14:paraId="3DCED617" w14:textId="77777777" w:rsidR="002B6EC9" w:rsidRPr="00D57D51" w:rsidRDefault="002B6EC9" w:rsidP="001738A0">
      <w:pPr>
        <w:pStyle w:val="berschrift1"/>
        <w:numPr>
          <w:ilvl w:val="0"/>
          <w:numId w:val="8"/>
        </w:numPr>
        <w:spacing w:line="288" w:lineRule="auto"/>
        <w:contextualSpacing/>
        <w:rPr>
          <w:rFonts w:ascii="Times New Roman" w:hAnsi="Times New Roman" w:cs="Times New Roman"/>
        </w:rPr>
      </w:pPr>
      <w:bookmarkStart w:id="41" w:name="_Toc97043992"/>
      <w:r w:rsidRPr="00D57D51">
        <w:rPr>
          <w:rFonts w:ascii="Times New Roman" w:hAnsi="Times New Roman" w:cs="Times New Roman"/>
        </w:rPr>
        <w:t>Fazit</w:t>
      </w:r>
      <w:bookmarkEnd w:id="41"/>
    </w:p>
    <w:p w14:paraId="42F81835" w14:textId="056DC748" w:rsidR="00F92CCD" w:rsidRPr="008D0EA2" w:rsidRDefault="002B6EC9" w:rsidP="00E73AAF">
      <w:r w:rsidRPr="008D0EA2">
        <w:t>Formelle Mängel in Falllösungen/Seminar-/Masterarbeiten gehören gleich</w:t>
      </w:r>
      <w:r w:rsidR="00D57D51" w:rsidRPr="008D0EA2">
        <w:t>zeitig zu den häufigsten und un</w:t>
      </w:r>
      <w:r w:rsidRPr="008D0EA2">
        <w:t>nötigsten, lassen sie sich doch mit etwas Gründlichkeit und einem</w:t>
      </w:r>
      <w:r w:rsidR="00D57D51" w:rsidRPr="008D0EA2">
        <w:t xml:space="preserve"> abschliessenden Korrekturdurch</w:t>
      </w:r>
      <w:r w:rsidRPr="008D0EA2">
        <w:t>gang ohne grossen Aufwand vermeiden. In Studienarbeiten kommt</w:t>
      </w:r>
      <w:r w:rsidR="00D57D51" w:rsidRPr="008D0EA2">
        <w:t xml:space="preserve"> hinzu, dass die bewusste Zitat</w:t>
      </w:r>
      <w:r w:rsidRPr="008D0EA2">
        <w:t>gestalt</w:t>
      </w:r>
      <w:r w:rsidR="00D57D51" w:rsidRPr="008D0EA2">
        <w:t>ung (Form) gleichzeitig eine be</w:t>
      </w:r>
      <w:r w:rsidRPr="008D0EA2">
        <w:t xml:space="preserve">wusste Zitierpraxis (Inhalt) fördert </w:t>
      </w:r>
      <w:r w:rsidR="00D57D51" w:rsidRPr="008D0EA2">
        <w:t>und dadurch indirekt zum wissen</w:t>
      </w:r>
      <w:r w:rsidRPr="008D0EA2">
        <w:t>schaftlichen Erkenntnisgewinn beiträgt. Für die formale Gest</w:t>
      </w:r>
      <w:r w:rsidR="00D57D51" w:rsidRPr="008D0EA2">
        <w:t>altung wissenschaftlicher Arbei</w:t>
      </w:r>
      <w:r w:rsidRPr="008D0EA2">
        <w:t>ten besteht zwar ein weiter Spielraum, doch führen die zwingenden Anforderungen a</w:t>
      </w:r>
      <w:r w:rsidR="00D57D51" w:rsidRPr="008D0EA2">
        <w:t>n Vollständigkeit und innere Widerspruchsfreiheit (Kon</w:t>
      </w:r>
      <w:r w:rsidRPr="008D0EA2">
        <w:t xml:space="preserve">sistenz) dazu, dass jede Gestaltungsvariante Disziplin erfordert. Wer sich nicht </w:t>
      </w:r>
      <w:proofErr w:type="gramStart"/>
      <w:r w:rsidRPr="008D0EA2">
        <w:t>ganz sicher</w:t>
      </w:r>
      <w:proofErr w:type="gramEnd"/>
      <w:r w:rsidRPr="008D0EA2">
        <w:t xml:space="preserve"> ist, der sollte schon während </w:t>
      </w:r>
      <w:r w:rsidRPr="008D0EA2">
        <w:lastRenderedPageBreak/>
        <w:t>der Recherchen in der Bibliothek möglichst detaillierte Literaturangaben notieren (auf Kopien, bei Exzerpten, in provisorischen Textblöcken im Computer) und die</w:t>
      </w:r>
      <w:r w:rsidR="00BE78D8" w:rsidRPr="008D0EA2">
        <w:t xml:space="preserve"> Arbeit vor der Abgabe noch ein</w:t>
      </w:r>
      <w:r w:rsidRPr="008D0EA2">
        <w:t>mal einer Kollegin zur Durchsicht auf formale Schwächen geben.</w:t>
      </w:r>
    </w:p>
    <w:p w14:paraId="42C579A7" w14:textId="77777777" w:rsidR="00F92CCD" w:rsidRDefault="00F92CCD" w:rsidP="00F51BE4">
      <w:pPr>
        <w:tabs>
          <w:tab w:val="clear" w:pos="397"/>
        </w:tabs>
        <w:spacing w:after="200" w:line="288" w:lineRule="auto"/>
        <w:contextualSpacing/>
        <w:jc w:val="left"/>
        <w:rPr>
          <w:rFonts w:cs="Times New Roman"/>
        </w:rPr>
      </w:pPr>
      <w:r>
        <w:rPr>
          <w:rFonts w:cs="Times New Roman"/>
        </w:rPr>
        <w:br w:type="page"/>
      </w:r>
    </w:p>
    <w:p w14:paraId="2CD8D1B0" w14:textId="77777777" w:rsidR="002B6EC9" w:rsidRPr="003A648F" w:rsidRDefault="002B6EC9" w:rsidP="001738A0">
      <w:pPr>
        <w:pStyle w:val="berschrift1"/>
        <w:numPr>
          <w:ilvl w:val="0"/>
          <w:numId w:val="8"/>
        </w:numPr>
        <w:spacing w:line="288" w:lineRule="auto"/>
        <w:contextualSpacing/>
        <w:rPr>
          <w:rFonts w:ascii="Times New Roman" w:hAnsi="Times New Roman" w:cs="Times New Roman"/>
        </w:rPr>
      </w:pPr>
      <w:bookmarkStart w:id="42" w:name="_Toc97043993"/>
      <w:r w:rsidRPr="003A648F">
        <w:rPr>
          <w:rFonts w:ascii="Times New Roman" w:hAnsi="Times New Roman" w:cs="Times New Roman"/>
        </w:rPr>
        <w:lastRenderedPageBreak/>
        <w:t>Erklärung gemäss Artikel 42 Absatz 2 RSL RW</w:t>
      </w:r>
      <w:bookmarkEnd w:id="42"/>
    </w:p>
    <w:p w14:paraId="14F1147F" w14:textId="77777777" w:rsidR="00BE78D8" w:rsidRPr="00D57D51" w:rsidRDefault="00BE78D8" w:rsidP="00BE78D8">
      <w:pPr>
        <w:spacing w:before="120" w:line="288" w:lineRule="auto"/>
        <w:contextualSpacing/>
        <w:jc w:val="center"/>
        <w:rPr>
          <w:rFonts w:cs="Times New Roman"/>
          <w:b/>
        </w:rPr>
      </w:pPr>
    </w:p>
    <w:p w14:paraId="7FAC1184" w14:textId="77777777" w:rsidR="002B6EC9" w:rsidRPr="008D0EA2" w:rsidRDefault="00BE78D8" w:rsidP="00F51BE4">
      <w:pPr>
        <w:spacing w:line="288" w:lineRule="auto"/>
        <w:contextualSpacing/>
        <w:rPr>
          <w:rFonts w:cs="Times New Roman"/>
          <w:szCs w:val="24"/>
        </w:rPr>
      </w:pPr>
      <w:r w:rsidRPr="008D0EA2">
        <w:rPr>
          <w:rFonts w:cs="Times New Roman"/>
          <w:szCs w:val="24"/>
        </w:rPr>
        <w:t>Ich erkläre hiermit, dass ich diese Arbeit selbständig verfasst und keine anderen als die angegebenen Quellen benutzt habe. Alle Stellen, die wörtlich oder sinngemäss aus Quellen entnommen wurden, habe ich als solche gekennzeichnet. Mir ist bekannt, dass andernfalls die Arbeit mit der Note 1 bewertet wird und der Senat gemäss Artikel 36 Absatz 1 Buchstabe r des Gesetzes über die Universität vom 5. September 1996 und Artikel 69 des Statuts der Universität Bern vom 7. Juni 2011 zum Entzug des aufgrund dieser Arbeit verliehenen Titels berechtigt ist. Für die Zwecke der Begutachtung und der Überprüfung der Einhaltung der Selbständigkeitserklärung bzw. der Reglemente betreffend Plagiate erteile ich der Universität Bern das Recht, die dazu erforderlichen Personendaten zu bearbeiten und Nutzungshandlungen vorzunehmen, insbesondere die schriftliche Arbeit zu vervielfältigen und dauerhaft in einer Datenbank zu speichern sowie diese zur Überprüfung von Arbeiten Dritter zu verwenden oder hierzu zur Verfügung zu stellen.</w:t>
      </w:r>
    </w:p>
    <w:p w14:paraId="0728FCCD" w14:textId="77777777" w:rsidR="002B6EC9" w:rsidRPr="008D0EA2" w:rsidRDefault="002B6EC9" w:rsidP="00F51BE4">
      <w:pPr>
        <w:spacing w:line="288" w:lineRule="auto"/>
        <w:contextualSpacing/>
        <w:rPr>
          <w:rFonts w:cs="Times New Roman"/>
          <w:szCs w:val="24"/>
        </w:rPr>
      </w:pPr>
    </w:p>
    <w:p w14:paraId="4A770416" w14:textId="77777777" w:rsidR="002B6EC9" w:rsidRPr="008D0EA2" w:rsidRDefault="002B6EC9" w:rsidP="00F51BE4">
      <w:pPr>
        <w:spacing w:line="288" w:lineRule="auto"/>
        <w:contextualSpacing/>
        <w:rPr>
          <w:rFonts w:cs="Times New Roman"/>
          <w:szCs w:val="24"/>
        </w:rPr>
      </w:pPr>
      <w:r w:rsidRPr="008D0EA2">
        <w:rPr>
          <w:rFonts w:cs="Times New Roman"/>
          <w:szCs w:val="24"/>
        </w:rPr>
        <w:t>_______________________________________</w:t>
      </w:r>
    </w:p>
    <w:p w14:paraId="52E4A1FF" w14:textId="77777777" w:rsidR="002B6EC9" w:rsidRPr="008D0EA2" w:rsidRDefault="002B6EC9" w:rsidP="00F51BE4">
      <w:pPr>
        <w:spacing w:line="288" w:lineRule="auto"/>
        <w:contextualSpacing/>
        <w:rPr>
          <w:rFonts w:cs="Times New Roman"/>
          <w:szCs w:val="24"/>
        </w:rPr>
      </w:pPr>
      <w:r w:rsidRPr="008D0EA2">
        <w:rPr>
          <w:rFonts w:cs="Times New Roman"/>
          <w:szCs w:val="24"/>
        </w:rPr>
        <w:t>(Datum und eigenhändige Unterschrift)</w:t>
      </w:r>
    </w:p>
    <w:p w14:paraId="2827A3F5" w14:textId="77777777" w:rsidR="002B6EC9" w:rsidRPr="008D0EA2" w:rsidRDefault="002B6EC9" w:rsidP="00F51BE4">
      <w:pPr>
        <w:spacing w:line="288" w:lineRule="auto"/>
        <w:contextualSpacing/>
        <w:rPr>
          <w:rFonts w:cs="Times New Roman"/>
          <w:szCs w:val="24"/>
        </w:rPr>
      </w:pPr>
    </w:p>
    <w:sectPr w:rsidR="002B6EC9" w:rsidRPr="008D0EA2" w:rsidSect="00EF0CF0">
      <w:pgSz w:w="11906" w:h="16838"/>
      <w:pgMar w:top="1418" w:right="2268" w:bottom="1418" w:left="1418" w:header="851" w:footer="124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8ACEC" w14:textId="77777777" w:rsidR="00622825" w:rsidRDefault="00622825" w:rsidP="0028341D">
      <w:pPr>
        <w:spacing w:line="240" w:lineRule="auto"/>
      </w:pPr>
      <w:r>
        <w:separator/>
      </w:r>
    </w:p>
  </w:endnote>
  <w:endnote w:type="continuationSeparator" w:id="0">
    <w:p w14:paraId="7D519128" w14:textId="77777777" w:rsidR="00622825" w:rsidRDefault="00622825" w:rsidP="002834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Textkörper CS)">
    <w:altName w:val="Times New Roman"/>
    <w:panose1 w:val="020B06040202020202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arterITC-Regu">
    <w:altName w:val="Cambria"/>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C36B" w14:textId="77777777" w:rsidR="00300EE0" w:rsidRDefault="00622825" w:rsidP="00A11C6D">
    <w:pPr>
      <w:pStyle w:val="Fuzeile"/>
      <w:jc w:val="right"/>
    </w:pPr>
    <w:sdt>
      <w:sdtPr>
        <w:id w:val="724490066"/>
        <w:docPartObj>
          <w:docPartGallery w:val="Page Numbers (Bottom of Page)"/>
          <w:docPartUnique/>
        </w:docPartObj>
      </w:sdtPr>
      <w:sdtEndPr/>
      <w:sdtContent>
        <w:r w:rsidR="00300EE0">
          <w:fldChar w:fldCharType="begin"/>
        </w:r>
        <w:r w:rsidR="00300EE0">
          <w:instrText>PAGE   \* MERGEFORMAT</w:instrText>
        </w:r>
        <w:r w:rsidR="00300EE0">
          <w:fldChar w:fldCharType="separate"/>
        </w:r>
        <w:r w:rsidR="00300EE0" w:rsidRPr="00574E2B">
          <w:rPr>
            <w:noProof/>
            <w:lang w:val="de-DE"/>
          </w:rPr>
          <w:t>XX</w:t>
        </w:r>
        <w:r w:rsidR="00300EE0">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z w:val="20"/>
        <w:szCs w:val="20"/>
      </w:rPr>
      <w:id w:val="-690374997"/>
      <w:docPartObj>
        <w:docPartGallery w:val="Page Numbers (Bottom of Page)"/>
        <w:docPartUnique/>
      </w:docPartObj>
    </w:sdtPr>
    <w:sdtEndPr/>
    <w:sdtContent>
      <w:p w14:paraId="58579B88" w14:textId="77777777" w:rsidR="00300EE0" w:rsidRPr="00A4680C" w:rsidRDefault="00300EE0">
        <w:pPr>
          <w:pStyle w:val="Fuzeile"/>
          <w:jc w:val="right"/>
          <w:rPr>
            <w:rFonts w:cs="Times New Roman"/>
            <w:sz w:val="20"/>
            <w:szCs w:val="20"/>
          </w:rPr>
        </w:pPr>
        <w:r w:rsidRPr="00A4680C">
          <w:rPr>
            <w:rFonts w:cs="Times New Roman"/>
            <w:sz w:val="20"/>
            <w:szCs w:val="20"/>
          </w:rPr>
          <w:fldChar w:fldCharType="begin"/>
        </w:r>
        <w:r w:rsidRPr="00A4680C">
          <w:rPr>
            <w:rFonts w:cs="Times New Roman"/>
            <w:sz w:val="20"/>
            <w:szCs w:val="20"/>
          </w:rPr>
          <w:instrText>PAGE   \* MERGEFORMAT</w:instrText>
        </w:r>
        <w:r w:rsidRPr="00A4680C">
          <w:rPr>
            <w:rFonts w:cs="Times New Roman"/>
            <w:sz w:val="20"/>
            <w:szCs w:val="20"/>
          </w:rPr>
          <w:fldChar w:fldCharType="separate"/>
        </w:r>
        <w:r w:rsidRPr="00574E2B">
          <w:rPr>
            <w:rFonts w:cs="Times New Roman"/>
            <w:noProof/>
            <w:sz w:val="20"/>
            <w:szCs w:val="20"/>
            <w:lang w:val="de-DE"/>
          </w:rPr>
          <w:t>20</w:t>
        </w:r>
        <w:r w:rsidRPr="00A4680C">
          <w:rPr>
            <w:rFonts w:cs="Times New Roman"/>
            <w:sz w:val="20"/>
            <w:szCs w:val="20"/>
          </w:rPr>
          <w:fldChar w:fldCharType="end"/>
        </w:r>
      </w:p>
    </w:sdtContent>
  </w:sdt>
  <w:p w14:paraId="33F6933D" w14:textId="77777777" w:rsidR="00300EE0" w:rsidRPr="00A4680C" w:rsidRDefault="00300EE0">
    <w:pPr>
      <w:rPr>
        <w:rFonts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796A" w14:textId="77777777" w:rsidR="00300EE0" w:rsidRDefault="00300E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134D1" w14:textId="77777777" w:rsidR="00622825" w:rsidRDefault="00622825" w:rsidP="0028341D">
      <w:pPr>
        <w:spacing w:line="240" w:lineRule="auto"/>
      </w:pPr>
      <w:r>
        <w:separator/>
      </w:r>
    </w:p>
  </w:footnote>
  <w:footnote w:type="continuationSeparator" w:id="0">
    <w:p w14:paraId="409963AC" w14:textId="77777777" w:rsidR="00622825" w:rsidRDefault="00622825" w:rsidP="0028341D">
      <w:pPr>
        <w:spacing w:line="240" w:lineRule="auto"/>
      </w:pPr>
      <w:r>
        <w:continuationSeparator/>
      </w:r>
    </w:p>
  </w:footnote>
  <w:footnote w:id="1">
    <w:p w14:paraId="1B615295" w14:textId="361CB19A" w:rsidR="00300EE0" w:rsidRDefault="00300EE0">
      <w:pPr>
        <w:pStyle w:val="Funotentext"/>
      </w:pPr>
      <w:r>
        <w:rPr>
          <w:rStyle w:val="Funotenzeichen"/>
        </w:rPr>
        <w:footnoteRef/>
      </w:r>
      <w:r>
        <w:t xml:space="preserve"> </w:t>
      </w:r>
      <w:r>
        <w:tab/>
        <w:t>Beachten Sie: Formell müssen beim Inhaltsverzeichnis die verschiedenen Gliederungsebenen (I./2./</w:t>
      </w:r>
      <w:proofErr w:type="gramStart"/>
      <w:r>
        <w:t>a)/</w:t>
      </w:r>
      <w:proofErr w:type="gramEnd"/>
      <w:r>
        <w:t>aa)) unterscheidbar sein. Das bedeutet: Eine untergeordnete Gliederungsebene wird eingerückt, und zwar meistens so, dass sie mit dem Text der oberen Gliederungsebene aligniert ist. Also: II. Gestaltung, und dann 1. Seitenlayout aligniert. Materiell sollte Ihr Inhaltsverzeichnis die wesentlichen Gedankengänge Ihrer Arbeit abbilden.</w:t>
      </w:r>
    </w:p>
  </w:footnote>
  <w:footnote w:id="2">
    <w:p w14:paraId="17AC046D" w14:textId="5A7300A0" w:rsidR="00300EE0" w:rsidRDefault="00300EE0">
      <w:pPr>
        <w:pStyle w:val="Funotentext"/>
      </w:pPr>
      <w:r>
        <w:rPr>
          <w:rStyle w:val="Funotenzeichen"/>
        </w:rPr>
        <w:footnoteRef/>
      </w:r>
      <w:r>
        <w:t xml:space="preserve"> </w:t>
      </w:r>
      <w:r>
        <w:tab/>
      </w:r>
      <w:r w:rsidRPr="002B68B3">
        <w:rPr>
          <w:rFonts w:cs="Times New Roman"/>
          <w:b/>
        </w:rPr>
        <w:t>Beachten Sie:</w:t>
      </w:r>
      <w:r w:rsidRPr="002B68B3">
        <w:rPr>
          <w:rFonts w:cs="Times New Roman"/>
        </w:rPr>
        <w:t xml:space="preserve"> Die Quellenangaben in Ihrer Arbeit müssen </w:t>
      </w:r>
      <w:r w:rsidRPr="002B68B3">
        <w:rPr>
          <w:rFonts w:cs="Times New Roman"/>
          <w:b/>
          <w:u w:val="single"/>
        </w:rPr>
        <w:t>aktuell sein</w:t>
      </w:r>
      <w:r w:rsidRPr="002B68B3">
        <w:rPr>
          <w:rFonts w:cs="Times New Roman"/>
        </w:rPr>
        <w:t xml:space="preserve">. Die </w:t>
      </w:r>
      <w:r>
        <w:rPr>
          <w:rFonts w:cs="Times New Roman"/>
        </w:rPr>
        <w:t>vorliegend</w:t>
      </w:r>
      <w:r w:rsidRPr="002B68B3">
        <w:rPr>
          <w:rFonts w:cs="Times New Roman"/>
        </w:rPr>
        <w:t xml:space="preserve"> </w:t>
      </w:r>
      <w:r>
        <w:rPr>
          <w:rFonts w:cs="Times New Roman"/>
        </w:rPr>
        <w:t>aufgeführten Werke dienen</w:t>
      </w:r>
      <w:r w:rsidRPr="002B68B3">
        <w:rPr>
          <w:rFonts w:cs="Times New Roman"/>
        </w:rPr>
        <w:t xml:space="preserve"> nur als Beispiele.</w:t>
      </w:r>
      <w:r>
        <w:rPr>
          <w:rFonts w:cs="Times New Roman"/>
        </w:rPr>
        <w:t xml:space="preserve"> Möglicherweise gibt es jeweils bereits neuere Auflagen. Dieses Literaturverzeichnis dient als Beispiel, wie ein Literaturverzeichnis formell auszusehen hat und welche Angaben enthalten sein müssen. Die </w:t>
      </w:r>
      <w:r w:rsidRPr="006E39DA">
        <w:rPr>
          <w:rFonts w:cs="Times New Roman"/>
          <w:b/>
          <w:bCs/>
        </w:rPr>
        <w:t>Formatvorlage</w:t>
      </w:r>
      <w:r>
        <w:rPr>
          <w:rFonts w:cs="Times New Roman"/>
        </w:rPr>
        <w:t xml:space="preserve"> lautet: Literatur (für das Erstzitat); Literatur_Aufzählung (für die weiteren Werke, die mit einem Aufzählungsstrich aufgeführt werden).</w:t>
      </w:r>
    </w:p>
  </w:footnote>
  <w:footnote w:id="3">
    <w:p w14:paraId="64D3C237" w14:textId="49D162EF" w:rsidR="00300EE0" w:rsidRDefault="00300EE0">
      <w:pPr>
        <w:pStyle w:val="Funotentext"/>
      </w:pPr>
      <w:r>
        <w:rPr>
          <w:rStyle w:val="Funotenzeichen"/>
        </w:rPr>
        <w:footnoteRef/>
      </w:r>
      <w:r>
        <w:t xml:space="preserve"> </w:t>
      </w:r>
      <w:r>
        <w:tab/>
        <w:t>Statt dass Sie bei jedem Internetzitat das Abrufdatum vermerken, können Sie dies einmal für alle Internetquellen am Anfang des Literatur- und Materialienverzeichnisses vermerken.</w:t>
      </w:r>
    </w:p>
  </w:footnote>
  <w:footnote w:id="4">
    <w:p w14:paraId="6D8E908A" w14:textId="0AE6B82E" w:rsidR="00300EE0" w:rsidRDefault="00300EE0" w:rsidP="001D43EC">
      <w:pPr>
        <w:pStyle w:val="Funotentext"/>
      </w:pPr>
      <w:r>
        <w:rPr>
          <w:rStyle w:val="Funotenzeichen"/>
        </w:rPr>
        <w:footnoteRef/>
      </w:r>
      <w:r>
        <w:t xml:space="preserve"> </w:t>
      </w:r>
      <w:r>
        <w:tab/>
        <w:t>Vorlage = StandardE</w:t>
      </w:r>
    </w:p>
  </w:footnote>
  <w:footnote w:id="5">
    <w:p w14:paraId="0761ABDF" w14:textId="065B50E3" w:rsidR="00300EE0" w:rsidRPr="001D43EC" w:rsidRDefault="00300EE0" w:rsidP="001D43EC">
      <w:pPr>
        <w:pStyle w:val="Funotentext"/>
      </w:pPr>
      <w:r>
        <w:rPr>
          <w:rStyle w:val="Funotenzeichen"/>
        </w:rPr>
        <w:footnoteRef/>
      </w:r>
      <w:r>
        <w:t xml:space="preserve"> </w:t>
      </w:r>
      <w:r>
        <w:tab/>
        <w:t>Vorlage = Standard</w:t>
      </w:r>
    </w:p>
  </w:footnote>
  <w:footnote w:id="6">
    <w:p w14:paraId="3C631C66" w14:textId="058228F4" w:rsidR="00300EE0" w:rsidRDefault="00300EE0">
      <w:pPr>
        <w:pStyle w:val="Funotentext"/>
      </w:pPr>
      <w:r>
        <w:rPr>
          <w:rStyle w:val="Funotenzeichen"/>
        </w:rPr>
        <w:footnoteRef/>
      </w:r>
      <w:r>
        <w:t xml:space="preserve"> </w:t>
      </w:r>
      <w:r>
        <w:tab/>
        <w:t>Vorlage = Aufzählung. Der Halbgeviertstrich (–) wird manuell eingefügt. Anschliessend folgt ein Tab.</w:t>
      </w:r>
    </w:p>
  </w:footnote>
  <w:footnote w:id="7">
    <w:p w14:paraId="53D88060" w14:textId="77777777" w:rsidR="00300EE0" w:rsidRPr="00EF6441" w:rsidRDefault="00300EE0" w:rsidP="008C0B74">
      <w:pPr>
        <w:pStyle w:val="Funotentext"/>
        <w:rPr>
          <w:rFonts w:cs="Times New Roman"/>
        </w:rPr>
      </w:pPr>
      <w:r w:rsidRPr="00EF6441">
        <w:rPr>
          <w:rStyle w:val="Funotenzeichen"/>
          <w:rFonts w:cs="Times New Roman"/>
        </w:rPr>
        <w:footnoteRef/>
      </w:r>
      <w:r w:rsidRPr="00EF6441">
        <w:rPr>
          <w:rFonts w:cs="Times New Roman"/>
        </w:rPr>
        <w:t xml:space="preserve"> </w:t>
      </w:r>
      <w:r w:rsidRPr="00EF6441">
        <w:rPr>
          <w:rFonts w:cs="Times New Roman"/>
        </w:rPr>
        <w:tab/>
        <w:t xml:space="preserve">Reglement </w:t>
      </w:r>
      <w:proofErr w:type="gramStart"/>
      <w:r w:rsidRPr="00EF6441">
        <w:rPr>
          <w:rFonts w:cs="Times New Roman"/>
        </w:rPr>
        <w:t>über das Bachelor</w:t>
      </w:r>
      <w:proofErr w:type="gramEnd"/>
      <w:r w:rsidRPr="00EF6441">
        <w:rPr>
          <w:rFonts w:cs="Times New Roman"/>
        </w:rPr>
        <w:t xml:space="preserve"> und das Masterstudium und die Leistungskontrollen an der Rechtswissenschaftlichen Fakultät der Universität Bern vom 21. Juni 2007, mit Änderung vom 14. Mai 2009 und 22. Mai 2014.</w:t>
      </w:r>
    </w:p>
  </w:footnote>
  <w:footnote w:id="8">
    <w:p w14:paraId="33C1D49E" w14:textId="77777777" w:rsidR="00300EE0" w:rsidRPr="00EF6441" w:rsidRDefault="00300EE0" w:rsidP="00A20494">
      <w:pPr>
        <w:pStyle w:val="Funotentext"/>
      </w:pPr>
      <w:r w:rsidRPr="00EF6441">
        <w:rPr>
          <w:rStyle w:val="Funotenzeichen"/>
          <w:rFonts w:cs="Times New Roman"/>
        </w:rPr>
        <w:footnoteRef/>
      </w:r>
      <w:r w:rsidRPr="00EF6441">
        <w:tab/>
        <w:t xml:space="preserve">Verzeichnis der </w:t>
      </w:r>
      <w:r w:rsidRPr="00A20494">
        <w:t>Zeitschriftenabkürzungen</w:t>
      </w:r>
      <w:r w:rsidRPr="00EF6441">
        <w:t xml:space="preserve"> bei </w:t>
      </w:r>
      <w:r w:rsidRPr="00EF6441">
        <w:rPr>
          <w:i/>
          <w:smallCaps/>
        </w:rPr>
        <w:t>Forstmoser/Ogorek/Schindler</w:t>
      </w:r>
      <w:r w:rsidRPr="00EF6441">
        <w:t>, Juristisches Arbeiten.</w:t>
      </w:r>
    </w:p>
  </w:footnote>
  <w:footnote w:id="9">
    <w:p w14:paraId="2E0680E6" w14:textId="77777777" w:rsidR="00300EE0" w:rsidRPr="00EF6441" w:rsidRDefault="00300EE0" w:rsidP="00A20494">
      <w:pPr>
        <w:pStyle w:val="Funotentext"/>
        <w:rPr>
          <w:i/>
        </w:rPr>
      </w:pPr>
      <w:r w:rsidRPr="00EF6441">
        <w:rPr>
          <w:rStyle w:val="Funotenzeichen"/>
          <w:rFonts w:cs="Times New Roman"/>
        </w:rPr>
        <w:footnoteRef/>
      </w:r>
      <w:r w:rsidRPr="00EF6441">
        <w:tab/>
      </w:r>
      <w:r w:rsidRPr="00EF6441">
        <w:rPr>
          <w:i/>
          <w:smallCaps/>
        </w:rPr>
        <w:t>Kirchner</w:t>
      </w:r>
      <w:r w:rsidRPr="00EF6441">
        <w:t>, Abkürzungsverzeichnis der Rechtssprache.</w:t>
      </w:r>
    </w:p>
  </w:footnote>
  <w:footnote w:id="10">
    <w:p w14:paraId="4A8BC6AE" w14:textId="1377EC63" w:rsidR="00300EE0" w:rsidRPr="00EF6441" w:rsidRDefault="00300EE0" w:rsidP="00EF6441">
      <w:pPr>
        <w:pStyle w:val="Funotentext"/>
        <w:rPr>
          <w:rFonts w:cs="Times New Roman"/>
        </w:rPr>
      </w:pPr>
      <w:r w:rsidRPr="00EF6441">
        <w:rPr>
          <w:rStyle w:val="Funotenzeichen"/>
          <w:rFonts w:cs="Times New Roman"/>
        </w:rPr>
        <w:footnoteRef/>
      </w:r>
      <w:r>
        <w:rPr>
          <w:rFonts w:cs="Times New Roman"/>
          <w:smallCaps/>
        </w:rPr>
        <w:t xml:space="preserve"> </w:t>
      </w:r>
      <w:r>
        <w:rPr>
          <w:rFonts w:cs="Times New Roman"/>
          <w:smallCaps/>
        </w:rPr>
        <w:tab/>
      </w:r>
      <w:r w:rsidRPr="00EF6441">
        <w:rPr>
          <w:rFonts w:cs="Times New Roman"/>
          <w:smallCaps/>
        </w:rPr>
        <w:t xml:space="preserve">Bundesgericht </w:t>
      </w:r>
      <w:r w:rsidRPr="0062056F">
        <w:rPr>
          <w:rFonts w:cs="Times New Roman"/>
          <w:smallCaps/>
        </w:rPr>
        <w:t>(Hrsg.</w:t>
      </w:r>
      <w:r w:rsidRPr="0062056F">
        <w:rPr>
          <w:rFonts w:cs="Times New Roman"/>
        </w:rPr>
        <w:t>), Zitierregeln</w:t>
      </w:r>
      <w:r w:rsidRPr="00EF6441">
        <w:rPr>
          <w:rFonts w:cs="Times New Roman"/>
        </w:rPr>
        <w:t>, S. 33 ff., abrufbar unter: &lt;www.bger.ch/01_</w:t>
      </w:r>
      <w:r>
        <w:rPr>
          <w:rFonts w:cs="Times New Roman"/>
        </w:rPr>
        <w:softHyphen/>
      </w:r>
      <w:r w:rsidRPr="00EF6441">
        <w:rPr>
          <w:rFonts w:cs="Times New Roman"/>
        </w:rPr>
        <w:t>zitier</w:t>
      </w:r>
      <w:r>
        <w:rPr>
          <w:rFonts w:cs="Times New Roman"/>
        </w:rPr>
        <w:softHyphen/>
      </w:r>
      <w:r w:rsidRPr="00EF6441">
        <w:rPr>
          <w:rFonts w:cs="Times New Roman"/>
        </w:rPr>
        <w:t>regeln_d.pdf&gt;.</w:t>
      </w:r>
    </w:p>
  </w:footnote>
  <w:footnote w:id="11">
    <w:p w14:paraId="5B90034C" w14:textId="7669FABB" w:rsidR="00300EE0" w:rsidRDefault="00300EE0">
      <w:pPr>
        <w:pStyle w:val="Funotentext"/>
      </w:pPr>
      <w:r>
        <w:rPr>
          <w:rStyle w:val="Funotenzeichen"/>
        </w:rPr>
        <w:footnoteRef/>
      </w:r>
      <w:r>
        <w:t xml:space="preserve"> </w:t>
      </w:r>
      <w:r>
        <w:tab/>
      </w:r>
      <w:r w:rsidRPr="00B631BC">
        <w:t xml:space="preserve">Das Kürzel «ff.» steht </w:t>
      </w:r>
      <w:proofErr w:type="gramStart"/>
      <w:r w:rsidRPr="00B631BC">
        <w:t>dabei übrigens</w:t>
      </w:r>
      <w:proofErr w:type="gramEnd"/>
      <w:r w:rsidRPr="00B631BC">
        <w:t xml:space="preserve"> nicht, wie man unter Juristinnen und Juristen gern sagt, für «fortfolgende», sondern bezeichnet nur den Plural von «f.» – so wie «§§» für Paragraphen und im Englischen «pp» für pages steht.</w:t>
      </w:r>
    </w:p>
  </w:footnote>
  <w:footnote w:id="12">
    <w:p w14:paraId="6F51D3DB" w14:textId="77777777" w:rsidR="00300EE0" w:rsidRPr="00EF6441" w:rsidRDefault="00300EE0" w:rsidP="008C0B74">
      <w:pPr>
        <w:pStyle w:val="Funotentext"/>
        <w:rPr>
          <w:rFonts w:cs="Times New Roman"/>
        </w:rPr>
      </w:pPr>
      <w:r w:rsidRPr="00EF6441">
        <w:rPr>
          <w:rStyle w:val="Funotenzeichen"/>
          <w:rFonts w:cs="Times New Roman"/>
        </w:rPr>
        <w:footnoteRef/>
      </w:r>
      <w:r w:rsidRPr="00EF6441">
        <w:rPr>
          <w:rFonts w:cs="Times New Roman"/>
        </w:rPr>
        <w:tab/>
        <w:t xml:space="preserve">Aus grundrechtsdogmatischer Sicht </w:t>
      </w:r>
      <w:r w:rsidRPr="00493667">
        <w:rPr>
          <w:iCs/>
          <w:smallCaps/>
        </w:rPr>
        <w:t>Müller/Schefer</w:t>
      </w:r>
      <w:r w:rsidRPr="00EF6441">
        <w:t>,</w:t>
      </w:r>
      <w:r w:rsidRPr="00EF6441">
        <w:rPr>
          <w:rFonts w:cs="Times New Roman"/>
        </w:rPr>
        <w:t xml:space="preserve"> Grundrechte in der Schweiz, S. 265 ff. Eher philosophisch hingegen </w:t>
      </w:r>
      <w:r w:rsidRPr="00493667">
        <w:rPr>
          <w:iCs/>
          <w:smallCaps/>
        </w:rPr>
        <w:t>Lübbe-Wolff</w:t>
      </w:r>
      <w:r w:rsidRPr="00EF6441">
        <w:t>,</w:t>
      </w:r>
      <w:r w:rsidRPr="00EF6441">
        <w:rPr>
          <w:rFonts w:cs="Times New Roman"/>
        </w:rPr>
        <w:t xml:space="preserve"> Funktionen, S. 43.</w:t>
      </w:r>
    </w:p>
  </w:footnote>
  <w:footnote w:id="13">
    <w:p w14:paraId="3D4312C4" w14:textId="09D9C2DC" w:rsidR="000D6A36" w:rsidRDefault="000D6A36">
      <w:pPr>
        <w:pStyle w:val="Funotentext"/>
      </w:pPr>
      <w:r>
        <w:rPr>
          <w:rStyle w:val="Funotenzeichen"/>
        </w:rPr>
        <w:footnoteRef/>
      </w:r>
      <w:r>
        <w:t xml:space="preserve"> </w:t>
      </w:r>
      <w:r>
        <w:tab/>
      </w:r>
      <w:r w:rsidRPr="00EF6441">
        <w:rPr>
          <w:rFonts w:cs="Times New Roman"/>
        </w:rPr>
        <w:t xml:space="preserve">Als weitere Beispiele: </w:t>
      </w:r>
      <w:r w:rsidRPr="00EF6441">
        <w:rPr>
          <w:i/>
          <w:smallCaps/>
        </w:rPr>
        <w:t>Druey</w:t>
      </w:r>
      <w:r w:rsidRPr="00EF6441">
        <w:t>,</w:t>
      </w:r>
      <w:r w:rsidRPr="00EF6441">
        <w:rPr>
          <w:rFonts w:cs="Times New Roman"/>
        </w:rPr>
        <w:t xml:space="preserve"> Informationsrecht, S. 75; </w:t>
      </w:r>
      <w:r w:rsidRPr="00EF6441">
        <w:rPr>
          <w:i/>
          <w:smallCaps/>
        </w:rPr>
        <w:t>Honsell,</w:t>
      </w:r>
      <w:r w:rsidRPr="00EF6441">
        <w:rPr>
          <w:rFonts w:cs="Times New Roman"/>
        </w:rPr>
        <w:t xml:space="preserve"> Arglistiges Verschweigen, S.</w:t>
      </w:r>
      <w:r>
        <w:rPr>
          <w:rFonts w:cs="Times New Roman"/>
        </w:rPr>
        <w:t> </w:t>
      </w:r>
      <w:r w:rsidRPr="00EF6441">
        <w:rPr>
          <w:rFonts w:cs="Times New Roman"/>
        </w:rPr>
        <w:t xml:space="preserve">103; </w:t>
      </w:r>
      <w:r w:rsidRPr="00EF6441">
        <w:rPr>
          <w:i/>
          <w:smallCaps/>
        </w:rPr>
        <w:t>Müller</w:t>
      </w:r>
      <w:r w:rsidRPr="00EF6441">
        <w:t>,</w:t>
      </w:r>
      <w:r w:rsidRPr="00EF6441">
        <w:rPr>
          <w:rFonts w:cs="Times New Roman"/>
        </w:rPr>
        <w:t xml:space="preserve"> Gerechtigkeit, S. 53; </w:t>
      </w:r>
      <w:r>
        <w:rPr>
          <w:rFonts w:cs="Times New Roman"/>
          <w:smallCaps/>
        </w:rPr>
        <w:t>d</w:t>
      </w:r>
      <w:r w:rsidRPr="00EF6441">
        <w:rPr>
          <w:i/>
          <w:smallCaps/>
        </w:rPr>
        <w:t>ers</w:t>
      </w:r>
      <w:r w:rsidRPr="00EF6441">
        <w:t>.,</w:t>
      </w:r>
      <w:r w:rsidRPr="00EF6441">
        <w:rPr>
          <w:rFonts w:cs="Times New Roman"/>
        </w:rPr>
        <w:t xml:space="preserve"> Grundrechte, S. 133.</w:t>
      </w:r>
    </w:p>
  </w:footnote>
  <w:footnote w:id="14">
    <w:p w14:paraId="1CEE0AF5" w14:textId="2D836E85" w:rsidR="00300EE0" w:rsidRDefault="00300EE0">
      <w:pPr>
        <w:pStyle w:val="Funotentext"/>
      </w:pPr>
      <w:r>
        <w:rPr>
          <w:rStyle w:val="Funotenzeichen"/>
        </w:rPr>
        <w:footnoteRef/>
      </w:r>
      <w:r>
        <w:t xml:space="preserve"> </w:t>
      </w:r>
      <w:r>
        <w:tab/>
        <w:t>S</w:t>
      </w:r>
      <w:r w:rsidRPr="00C97CEA">
        <w:t>o etwa der Handkommentar zum Schweizer Privatrecht, Zürich («CHK»), der Orell Füssli Kommentar, Zürich («OFK») oder der Kurzkommentar Obligationenrecht, Basel («KuKo»)</w:t>
      </w:r>
      <w:r>
        <w:t>.</w:t>
      </w:r>
    </w:p>
  </w:footnote>
  <w:footnote w:id="15">
    <w:p w14:paraId="011D6DBB" w14:textId="0F70B24F" w:rsidR="00300EE0" w:rsidRPr="00EF6441" w:rsidRDefault="00300EE0" w:rsidP="003A7983">
      <w:pPr>
        <w:pStyle w:val="Funotentext"/>
        <w:rPr>
          <w:rFonts w:cs="Times New Roman"/>
        </w:rPr>
      </w:pPr>
      <w:r w:rsidRPr="00EF6441">
        <w:rPr>
          <w:rStyle w:val="Funotenzeichen"/>
          <w:rFonts w:cs="Times New Roman"/>
        </w:rPr>
        <w:footnoteRef/>
      </w:r>
      <w:r w:rsidRPr="00EF6441">
        <w:rPr>
          <w:rFonts w:cs="Times New Roman"/>
        </w:rPr>
        <w:t xml:space="preserve"> </w:t>
      </w:r>
      <w:r w:rsidRPr="00EF6441">
        <w:rPr>
          <w:rFonts w:cs="Times New Roman"/>
        </w:rPr>
        <w:tab/>
        <w:t>Ausführlich bei</w:t>
      </w:r>
      <w:r w:rsidRPr="00EF6441">
        <w:rPr>
          <w:rFonts w:cs="Times New Roman"/>
          <w:i/>
        </w:rPr>
        <w:t xml:space="preserve"> </w:t>
      </w:r>
      <w:r w:rsidRPr="00EF6441">
        <w:rPr>
          <w:rFonts w:cs="Times New Roman"/>
          <w:smallCaps/>
        </w:rPr>
        <w:t xml:space="preserve">Bundesgericht </w:t>
      </w:r>
      <w:r w:rsidRPr="00216A84">
        <w:rPr>
          <w:rFonts w:cs="Times New Roman"/>
          <w:smallCaps/>
        </w:rPr>
        <w:t>(Hrsg.</w:t>
      </w:r>
      <w:r w:rsidRPr="00216A84">
        <w:rPr>
          <w:rFonts w:cs="Times New Roman"/>
        </w:rPr>
        <w:t>),</w:t>
      </w:r>
      <w:r w:rsidRPr="00EF6441">
        <w:rPr>
          <w:rFonts w:cs="Times New Roman"/>
        </w:rPr>
        <w:t xml:space="preserve"> Zitierregeln, S. 19 ff., abrufbar unter: &lt;www.bger.ch&gt;</w:t>
      </w:r>
      <w:r>
        <w:rPr>
          <w:rFonts w:cs="Times New Roman"/>
        </w:rPr>
        <w:t>, Rechtsprechung, Zitierregeln</w:t>
      </w:r>
      <w:r w:rsidRPr="00EF6441">
        <w:rPr>
          <w:rFonts w:cs="Times New Roman"/>
        </w:rPr>
        <w:t>.</w:t>
      </w:r>
    </w:p>
  </w:footnote>
  <w:footnote w:id="16">
    <w:p w14:paraId="1DBE68B7" w14:textId="77777777" w:rsidR="00300EE0" w:rsidRPr="00EF6441" w:rsidRDefault="00300EE0" w:rsidP="003A7983">
      <w:pPr>
        <w:pStyle w:val="Funotentext"/>
        <w:rPr>
          <w:rFonts w:cs="Times New Roman"/>
        </w:rPr>
      </w:pPr>
      <w:r w:rsidRPr="00EF6441">
        <w:rPr>
          <w:rStyle w:val="Funotenzeichen"/>
          <w:rFonts w:cs="Times New Roman"/>
        </w:rPr>
        <w:footnoteRef/>
      </w:r>
      <w:r w:rsidRPr="00EF6441">
        <w:rPr>
          <w:rStyle w:val="Funotenzeichen"/>
          <w:rFonts w:cs="Times New Roman"/>
        </w:rPr>
        <w:tab/>
      </w:r>
      <w:r w:rsidRPr="00EF6441">
        <w:rPr>
          <w:rFonts w:cs="Times New Roman"/>
        </w:rPr>
        <w:t xml:space="preserve">BGer Urteil 4C.197/2001 vom 12. Februar 2002 E. 4b, Pra 2002 Nr. </w:t>
      </w:r>
      <w:proofErr w:type="gramStart"/>
      <w:r w:rsidRPr="00EF6441">
        <w:rPr>
          <w:rFonts w:cs="Times New Roman"/>
        </w:rPr>
        <w:t>152</w:t>
      </w:r>
      <w:proofErr w:type="gramEnd"/>
      <w:r w:rsidRPr="00EF6441">
        <w:rPr>
          <w:rFonts w:cs="Times New Roman"/>
        </w:rPr>
        <w:t xml:space="preserve"> S. 821 (822 f., deutsche Übersetzung).</w:t>
      </w:r>
    </w:p>
  </w:footnote>
  <w:footnote w:id="17">
    <w:p w14:paraId="76132C3A" w14:textId="77777777" w:rsidR="00300EE0" w:rsidRPr="00EF6441" w:rsidRDefault="00300EE0" w:rsidP="003A7983">
      <w:pPr>
        <w:pStyle w:val="Funotentext"/>
        <w:rPr>
          <w:rFonts w:cs="Times New Roman"/>
          <w:i/>
        </w:rPr>
      </w:pPr>
      <w:r w:rsidRPr="00EF6441">
        <w:rPr>
          <w:rStyle w:val="Funotenzeichen"/>
          <w:rFonts w:cs="Times New Roman"/>
        </w:rPr>
        <w:footnoteRef/>
      </w:r>
      <w:r w:rsidRPr="00EF6441">
        <w:rPr>
          <w:rStyle w:val="Funotenzeichen"/>
          <w:rFonts w:cs="Times New Roman"/>
        </w:rPr>
        <w:tab/>
      </w:r>
      <w:r w:rsidRPr="00EF6441">
        <w:rPr>
          <w:rFonts w:cs="Times New Roman"/>
        </w:rPr>
        <w:t xml:space="preserve">EuGHE vom 23. März 2010, Rs. C-236/08 bis C-238/08, </w:t>
      </w:r>
      <w:r w:rsidRPr="00EF6441">
        <w:rPr>
          <w:rFonts w:cs="Times New Roman"/>
          <w:i/>
        </w:rPr>
        <w:t xml:space="preserve">Google France und Google, </w:t>
      </w:r>
      <w:r w:rsidRPr="00EF6441">
        <w:rPr>
          <w:rFonts w:cs="Times New Roman"/>
        </w:rPr>
        <w:t>Slg. 2010 I-02417, Rn. 72.</w:t>
      </w:r>
    </w:p>
  </w:footnote>
  <w:footnote w:id="18">
    <w:p w14:paraId="5894B5E3" w14:textId="77777777" w:rsidR="00300EE0" w:rsidRPr="00EF6441" w:rsidRDefault="00300EE0" w:rsidP="003A7983">
      <w:pPr>
        <w:pStyle w:val="Funotentext"/>
        <w:rPr>
          <w:rFonts w:cs="Times New Roman"/>
        </w:rPr>
      </w:pPr>
      <w:r w:rsidRPr="00EF6441">
        <w:rPr>
          <w:rStyle w:val="Funotenzeichen"/>
          <w:rFonts w:cs="Times New Roman"/>
        </w:rPr>
        <w:footnoteRef/>
      </w:r>
      <w:r w:rsidRPr="00EF6441">
        <w:rPr>
          <w:rFonts w:cs="Times New Roman"/>
        </w:rPr>
        <w:tab/>
        <w:t xml:space="preserve">EuGHE 1978, S. 629 – </w:t>
      </w:r>
      <w:r w:rsidRPr="00EF6441">
        <w:rPr>
          <w:rFonts w:cs="Times New Roman"/>
          <w:i/>
        </w:rPr>
        <w:t>Simmenthal II,</w:t>
      </w:r>
      <w:r w:rsidRPr="00EF6441">
        <w:rPr>
          <w:rFonts w:cs="Times New Roman"/>
        </w:rPr>
        <w:t xml:space="preserve"> Rn. 13; EuGHE 1994, I-04737 – </w:t>
      </w:r>
      <w:r w:rsidRPr="00EF6441">
        <w:rPr>
          <w:rFonts w:cs="Times New Roman"/>
          <w:i/>
          <w:iCs/>
        </w:rPr>
        <w:t>X/Kommission</w:t>
      </w:r>
      <w:r w:rsidRPr="00EF6441">
        <w:rPr>
          <w:rFonts w:cs="Times New Roman"/>
          <w:iCs/>
        </w:rPr>
        <w:t>, Rn. 1.</w:t>
      </w:r>
    </w:p>
  </w:footnote>
  <w:footnote w:id="19">
    <w:p w14:paraId="5C12B961" w14:textId="77777777" w:rsidR="00300EE0" w:rsidRPr="00EF6441" w:rsidRDefault="00300EE0" w:rsidP="007C5BD3">
      <w:pPr>
        <w:pStyle w:val="Funotentext"/>
        <w:rPr>
          <w:rFonts w:cs="Times New Roman"/>
        </w:rPr>
      </w:pPr>
      <w:r w:rsidRPr="00EF6441">
        <w:rPr>
          <w:rStyle w:val="Funotenzeichen"/>
          <w:rFonts w:cs="Times New Roman"/>
        </w:rPr>
        <w:footnoteRef/>
      </w:r>
      <w:r w:rsidRPr="00EF6441">
        <w:rPr>
          <w:rFonts w:cs="Times New Roman"/>
        </w:rPr>
        <w:tab/>
        <w:t xml:space="preserve">EuGHE 1978, S. 629 (643); EuGHE 1987, S. 2289 (2338 f. Rn. 15, 19) – </w:t>
      </w:r>
      <w:r w:rsidRPr="00EF6441">
        <w:rPr>
          <w:rFonts w:cs="Times New Roman"/>
          <w:i/>
          <w:iCs/>
        </w:rPr>
        <w:t>Rau</w:t>
      </w:r>
      <w:r w:rsidRPr="00EF6441">
        <w:rPr>
          <w:rFonts w:cs="Times New Roman"/>
        </w:rPr>
        <w:t>.</w:t>
      </w:r>
    </w:p>
  </w:footnote>
  <w:footnote w:id="20">
    <w:p w14:paraId="555E9800" w14:textId="77777777" w:rsidR="00300EE0" w:rsidRPr="00EF6441" w:rsidRDefault="00300EE0" w:rsidP="007C5BD3">
      <w:pPr>
        <w:pStyle w:val="Funotentext"/>
        <w:rPr>
          <w:rFonts w:cs="Times New Roman"/>
        </w:rPr>
      </w:pPr>
      <w:r w:rsidRPr="00EF6441">
        <w:rPr>
          <w:rStyle w:val="Funotenzeichen"/>
          <w:rFonts w:cs="Times New Roman"/>
        </w:rPr>
        <w:footnoteRef/>
      </w:r>
      <w:r w:rsidRPr="00EF6441">
        <w:rPr>
          <w:rFonts w:cs="Times New Roman"/>
        </w:rPr>
        <w:tab/>
        <w:t xml:space="preserve">BGH, BGHZ 120, S. 271 (272). </w:t>
      </w:r>
    </w:p>
  </w:footnote>
  <w:footnote w:id="21">
    <w:p w14:paraId="28FA2912" w14:textId="77777777" w:rsidR="00300EE0" w:rsidRPr="00EF6441" w:rsidRDefault="00300EE0" w:rsidP="007C5BD3">
      <w:pPr>
        <w:pStyle w:val="Funotentext"/>
        <w:rPr>
          <w:rFonts w:cs="Times New Roman"/>
        </w:rPr>
      </w:pPr>
      <w:r w:rsidRPr="00EF6441">
        <w:rPr>
          <w:rStyle w:val="Funotenzeichen"/>
          <w:rFonts w:cs="Times New Roman"/>
        </w:rPr>
        <w:footnoteRef/>
      </w:r>
      <w:r w:rsidRPr="00EF6441">
        <w:rPr>
          <w:rStyle w:val="Funotenzeichen"/>
          <w:rFonts w:cs="Times New Roman"/>
        </w:rPr>
        <w:tab/>
      </w:r>
      <w:r w:rsidRPr="00EF6441">
        <w:rPr>
          <w:rFonts w:cs="Times New Roman"/>
        </w:rPr>
        <w:t>BGH, Beschluss vom 26. Juli 2012, III ZB 70/11, BeckRS 2012, S. 17068.</w:t>
      </w:r>
    </w:p>
  </w:footnote>
  <w:footnote w:id="22">
    <w:p w14:paraId="20064EB0" w14:textId="2504D0ED" w:rsidR="00300EE0" w:rsidRPr="00EF6441" w:rsidRDefault="00300EE0" w:rsidP="007C5BD3">
      <w:pPr>
        <w:pStyle w:val="Funotentext"/>
        <w:rPr>
          <w:rFonts w:cs="Times New Roman"/>
        </w:rPr>
      </w:pPr>
      <w:r w:rsidRPr="00EF6441">
        <w:rPr>
          <w:rStyle w:val="Funotenzeichen"/>
          <w:rFonts w:cs="Times New Roman"/>
        </w:rPr>
        <w:footnoteRef/>
      </w:r>
      <w:r w:rsidRPr="00EF6441">
        <w:rPr>
          <w:rFonts w:cs="Times New Roman"/>
        </w:rPr>
        <w:tab/>
        <w:t>BGH, Urteil vom 5. Juli 2011, WM 2011, S. 2088 ff. (2089 Rn. 18); LG Münster, Urteil vom 26.</w:t>
      </w:r>
      <w:r>
        <w:rPr>
          <w:rFonts w:cs="Times New Roman"/>
        </w:rPr>
        <w:t xml:space="preserve"> August </w:t>
      </w:r>
      <w:r w:rsidRPr="00EF6441">
        <w:rPr>
          <w:rFonts w:cs="Times New Roman"/>
        </w:rPr>
        <w:t>1998, NJW 1999, S. 726 (728); OLG Hamm, Beschluss vom 30.</w:t>
      </w:r>
      <w:r>
        <w:rPr>
          <w:rFonts w:cs="Times New Roman"/>
        </w:rPr>
        <w:t xml:space="preserve"> September </w:t>
      </w:r>
      <w:r w:rsidRPr="00EF6441">
        <w:rPr>
          <w:rFonts w:cs="Times New Roman"/>
        </w:rPr>
        <w:t xml:space="preserve">1991, NJW-RR 1992, S. 583 (584); BGH, Urteil vom 1. Juni 1989 E. </w:t>
      </w:r>
      <w:proofErr w:type="gramStart"/>
      <w:r w:rsidRPr="00EF6441">
        <w:rPr>
          <w:rFonts w:cs="Times New Roman"/>
        </w:rPr>
        <w:t>II./</w:t>
      </w:r>
      <w:proofErr w:type="gramEnd"/>
      <w:r w:rsidRPr="00EF6441">
        <w:rPr>
          <w:rFonts w:cs="Times New Roman"/>
        </w:rPr>
        <w:t xml:space="preserve">3a, NJW 1989, S. 2879 ff. (2880). </w:t>
      </w:r>
    </w:p>
  </w:footnote>
  <w:footnote w:id="23">
    <w:p w14:paraId="479DABA8" w14:textId="77777777" w:rsidR="00300EE0" w:rsidRPr="00EF6441" w:rsidRDefault="00300EE0" w:rsidP="007C5BD3">
      <w:pPr>
        <w:pStyle w:val="Funotentext"/>
        <w:rPr>
          <w:rFonts w:cs="Times New Roman"/>
        </w:rPr>
      </w:pPr>
      <w:r w:rsidRPr="00EF6441">
        <w:rPr>
          <w:rStyle w:val="Funotenzeichen"/>
          <w:rFonts w:cs="Times New Roman"/>
        </w:rPr>
        <w:footnoteRef/>
      </w:r>
      <w:r w:rsidRPr="00EF6441">
        <w:rPr>
          <w:rStyle w:val="Funotenzeichen"/>
          <w:rFonts w:cs="Times New Roman"/>
        </w:rPr>
        <w:tab/>
      </w:r>
      <w:r w:rsidRPr="00EF6441">
        <w:rPr>
          <w:rFonts w:cs="Times New Roman"/>
        </w:rPr>
        <w:t>Gesetz des Kantons Bern vom 12. September 1995 über die Maturitätsschulen (MaSG, BSG 433.11).</w:t>
      </w:r>
    </w:p>
  </w:footnote>
  <w:footnote w:id="24">
    <w:p w14:paraId="06CF2C9E" w14:textId="77777777" w:rsidR="00300EE0" w:rsidRPr="00EF6441" w:rsidRDefault="00300EE0" w:rsidP="007C5BD3">
      <w:pPr>
        <w:pStyle w:val="Funotentext"/>
        <w:rPr>
          <w:rFonts w:cs="Times New Roman"/>
          <w:lang w:val="en-GB"/>
        </w:rPr>
      </w:pPr>
      <w:r w:rsidRPr="00EF6441">
        <w:rPr>
          <w:rStyle w:val="Funotenzeichen"/>
          <w:rFonts w:cs="Times New Roman"/>
        </w:rPr>
        <w:footnoteRef/>
      </w:r>
      <w:r w:rsidRPr="00EF6441">
        <w:rPr>
          <w:rStyle w:val="Funotenzeichen"/>
          <w:rFonts w:cs="Times New Roman"/>
          <w:lang w:val="en-US"/>
        </w:rPr>
        <w:tab/>
      </w:r>
      <w:r w:rsidRPr="00EF6441">
        <w:rPr>
          <w:rFonts w:cs="Times New Roman"/>
          <w:lang w:val="en-GB"/>
        </w:rPr>
        <w:t xml:space="preserve">Z.B. AS 1996, S. 3094; </w:t>
      </w:r>
      <w:proofErr w:type="spellStart"/>
      <w:r w:rsidRPr="00EF6441">
        <w:rPr>
          <w:rFonts w:cs="Times New Roman"/>
          <w:lang w:val="en-GB"/>
        </w:rPr>
        <w:t>BBl</w:t>
      </w:r>
      <w:proofErr w:type="spellEnd"/>
      <w:r w:rsidRPr="00EF6441">
        <w:rPr>
          <w:rFonts w:cs="Times New Roman"/>
          <w:lang w:val="en-GB"/>
        </w:rPr>
        <w:t xml:space="preserve"> 1995 I, S. 499; UBIE, in: VPB 2010.2, S. 14.</w:t>
      </w:r>
    </w:p>
  </w:footnote>
  <w:footnote w:id="25">
    <w:p w14:paraId="54EF620B" w14:textId="77777777" w:rsidR="00300EE0" w:rsidRPr="00EF6441" w:rsidRDefault="00300EE0" w:rsidP="00F92CCD">
      <w:pPr>
        <w:pStyle w:val="Funotentext"/>
        <w:rPr>
          <w:rFonts w:cs="Times New Roman"/>
        </w:rPr>
      </w:pPr>
      <w:r w:rsidRPr="00EF6441">
        <w:rPr>
          <w:rStyle w:val="Funotenzeichen"/>
          <w:rFonts w:cs="Times New Roman"/>
        </w:rPr>
        <w:footnoteRef/>
      </w:r>
      <w:r w:rsidRPr="00EF6441">
        <w:rPr>
          <w:rFonts w:cs="Times New Roman"/>
        </w:rPr>
        <w:tab/>
        <w:t xml:space="preserve">Verzeichnis auffindbar bei </w:t>
      </w:r>
      <w:r w:rsidRPr="00EF6441">
        <w:rPr>
          <w:i/>
          <w:smallCaps/>
        </w:rPr>
        <w:t>Forstmoser/Ogorek/Schindler</w:t>
      </w:r>
      <w:r w:rsidRPr="00EF6441">
        <w:t>,</w:t>
      </w:r>
      <w:r w:rsidRPr="00EF6441">
        <w:rPr>
          <w:rFonts w:cs="Times New Roman"/>
        </w:rPr>
        <w:t xml:space="preserve"> Juristisches Arbeiten.</w:t>
      </w:r>
    </w:p>
  </w:footnote>
  <w:footnote w:id="26">
    <w:p w14:paraId="7E91261F" w14:textId="77777777" w:rsidR="00300EE0" w:rsidRPr="00EF6441" w:rsidRDefault="00300EE0" w:rsidP="00F92CCD">
      <w:pPr>
        <w:pStyle w:val="Funotentext"/>
        <w:rPr>
          <w:rFonts w:cs="Times New Roman"/>
        </w:rPr>
      </w:pPr>
      <w:r w:rsidRPr="00EF6441">
        <w:rPr>
          <w:rStyle w:val="Funotenzeichen"/>
          <w:rFonts w:cs="Times New Roman"/>
        </w:rPr>
        <w:footnoteRef/>
      </w:r>
      <w:r w:rsidRPr="00EF6441">
        <w:rPr>
          <w:rFonts w:cs="Times New Roman"/>
        </w:rPr>
        <w:tab/>
        <w:t>Etwa die Abkürzung «RSL RW».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1847" w14:textId="77777777" w:rsidR="00300EE0" w:rsidRDefault="00300EE0" w:rsidP="006E4CCA">
    <w:pPr>
      <w:pStyle w:val="Kopfzeile"/>
      <w:pBdr>
        <w:bottom w:val="single" w:sz="4" w:space="1" w:color="auto"/>
      </w:pBdr>
    </w:pPr>
    <w:r>
      <w:t>Titel der Arbeit</w:t>
    </w:r>
  </w:p>
  <w:p w14:paraId="14051C76" w14:textId="77777777" w:rsidR="00300EE0" w:rsidRDefault="00300EE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47CE" w14:textId="77777777" w:rsidR="00300EE0" w:rsidRDefault="00300EE0" w:rsidP="006E4CCA">
    <w:pPr>
      <w:pStyle w:val="Kopfzeile"/>
      <w:pBdr>
        <w:bottom w:val="single" w:sz="4" w:space="1" w:color="auto"/>
      </w:pBdr>
    </w:pPr>
    <w:r>
      <w:t>Titel der Arbeit</w:t>
    </w:r>
  </w:p>
  <w:p w14:paraId="448A93A2" w14:textId="77777777" w:rsidR="00300EE0" w:rsidRPr="006E4CCA" w:rsidRDefault="00300EE0" w:rsidP="006E4CC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3E38" w14:textId="77777777" w:rsidR="00300EE0" w:rsidRDefault="00300EE0" w:rsidP="00B64360">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3B0605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4C2F340"/>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2E25338"/>
    <w:multiLevelType w:val="hybridMultilevel"/>
    <w:tmpl w:val="B962850E"/>
    <w:lvl w:ilvl="0" w:tplc="83666270">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061B5CF2"/>
    <w:multiLevelType w:val="hybridMultilevel"/>
    <w:tmpl w:val="86BAEEE2"/>
    <w:lvl w:ilvl="0" w:tplc="B6FEAFFA">
      <w:start w:val="4"/>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406E03"/>
    <w:multiLevelType w:val="hybridMultilevel"/>
    <w:tmpl w:val="48D0E5BE"/>
    <w:lvl w:ilvl="0" w:tplc="76344BCC">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F2C0B6F"/>
    <w:multiLevelType w:val="hybridMultilevel"/>
    <w:tmpl w:val="A9907D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D62372A"/>
    <w:multiLevelType w:val="hybridMultilevel"/>
    <w:tmpl w:val="37CAB06E"/>
    <w:lvl w:ilvl="0" w:tplc="9126E740">
      <w:start w:val="19"/>
      <w:numFmt w:val="bullet"/>
      <w:lvlText w:val="-"/>
      <w:lvlJc w:val="left"/>
      <w:pPr>
        <w:ind w:left="927" w:hanging="360"/>
      </w:pPr>
      <w:rPr>
        <w:rFonts w:ascii="Times New Roman" w:eastAsiaTheme="minorHAnsi" w:hAnsi="Times New Roman" w:cs="Times New Roman"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7" w15:restartNumberingAfterBreak="0">
    <w:nsid w:val="33F907B8"/>
    <w:multiLevelType w:val="hybridMultilevel"/>
    <w:tmpl w:val="D0E8F72C"/>
    <w:lvl w:ilvl="0" w:tplc="4E48845A">
      <w:start w:val="19"/>
      <w:numFmt w:val="bullet"/>
      <w:lvlText w:val="–"/>
      <w:lvlJc w:val="left"/>
      <w:pPr>
        <w:ind w:left="927" w:hanging="360"/>
      </w:pPr>
      <w:rPr>
        <w:rFonts w:ascii="Times New Roman" w:eastAsiaTheme="minorHAnsi" w:hAnsi="Times New Roman" w:cs="Times New Roman"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8" w15:restartNumberingAfterBreak="0">
    <w:nsid w:val="3E4C2B43"/>
    <w:multiLevelType w:val="hybridMultilevel"/>
    <w:tmpl w:val="EF2270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17F5558"/>
    <w:multiLevelType w:val="hybridMultilevel"/>
    <w:tmpl w:val="553C71F0"/>
    <w:lvl w:ilvl="0" w:tplc="5582C3F6">
      <w:start w:val="1"/>
      <w:numFmt w:val="bullet"/>
      <w:pStyle w:val="LiteraturAufzaehlung"/>
      <w:lvlText w:val="‒"/>
      <w:lvlJc w:val="left"/>
      <w:pPr>
        <w:ind w:left="360" w:hanging="360"/>
      </w:pPr>
      <w:rPr>
        <w:rFonts w:ascii="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B733944"/>
    <w:multiLevelType w:val="multilevel"/>
    <w:tmpl w:val="5CD8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8707A1"/>
    <w:multiLevelType w:val="multilevel"/>
    <w:tmpl w:val="C8088E02"/>
    <w:lvl w:ilvl="0">
      <w:start w:val="1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CC0C99"/>
    <w:multiLevelType w:val="hybridMultilevel"/>
    <w:tmpl w:val="7A9AD20A"/>
    <w:lvl w:ilvl="0" w:tplc="D1426A54">
      <w:start w:val="3"/>
      <w:numFmt w:val="bullet"/>
      <w:lvlText w:val="-"/>
      <w:lvlJc w:val="left"/>
      <w:pPr>
        <w:ind w:left="1347" w:hanging="360"/>
      </w:pPr>
      <w:rPr>
        <w:rFonts w:ascii="Times New Roman" w:eastAsiaTheme="minorHAnsi" w:hAnsi="Times New Roman" w:cs="Times New Roman" w:hint="default"/>
      </w:rPr>
    </w:lvl>
    <w:lvl w:ilvl="1" w:tplc="08070003" w:tentative="1">
      <w:start w:val="1"/>
      <w:numFmt w:val="bullet"/>
      <w:lvlText w:val="o"/>
      <w:lvlJc w:val="left"/>
      <w:pPr>
        <w:ind w:left="2067" w:hanging="360"/>
      </w:pPr>
      <w:rPr>
        <w:rFonts w:ascii="Courier New" w:hAnsi="Courier New" w:cs="Courier New" w:hint="default"/>
      </w:rPr>
    </w:lvl>
    <w:lvl w:ilvl="2" w:tplc="08070005" w:tentative="1">
      <w:start w:val="1"/>
      <w:numFmt w:val="bullet"/>
      <w:lvlText w:val=""/>
      <w:lvlJc w:val="left"/>
      <w:pPr>
        <w:ind w:left="2787" w:hanging="360"/>
      </w:pPr>
      <w:rPr>
        <w:rFonts w:ascii="Wingdings" w:hAnsi="Wingdings" w:hint="default"/>
      </w:rPr>
    </w:lvl>
    <w:lvl w:ilvl="3" w:tplc="08070001" w:tentative="1">
      <w:start w:val="1"/>
      <w:numFmt w:val="bullet"/>
      <w:lvlText w:val=""/>
      <w:lvlJc w:val="left"/>
      <w:pPr>
        <w:ind w:left="3507" w:hanging="360"/>
      </w:pPr>
      <w:rPr>
        <w:rFonts w:ascii="Symbol" w:hAnsi="Symbol" w:hint="default"/>
      </w:rPr>
    </w:lvl>
    <w:lvl w:ilvl="4" w:tplc="08070003" w:tentative="1">
      <w:start w:val="1"/>
      <w:numFmt w:val="bullet"/>
      <w:lvlText w:val="o"/>
      <w:lvlJc w:val="left"/>
      <w:pPr>
        <w:ind w:left="4227" w:hanging="360"/>
      </w:pPr>
      <w:rPr>
        <w:rFonts w:ascii="Courier New" w:hAnsi="Courier New" w:cs="Courier New" w:hint="default"/>
      </w:rPr>
    </w:lvl>
    <w:lvl w:ilvl="5" w:tplc="08070005" w:tentative="1">
      <w:start w:val="1"/>
      <w:numFmt w:val="bullet"/>
      <w:lvlText w:val=""/>
      <w:lvlJc w:val="left"/>
      <w:pPr>
        <w:ind w:left="4947" w:hanging="360"/>
      </w:pPr>
      <w:rPr>
        <w:rFonts w:ascii="Wingdings" w:hAnsi="Wingdings" w:hint="default"/>
      </w:rPr>
    </w:lvl>
    <w:lvl w:ilvl="6" w:tplc="08070001" w:tentative="1">
      <w:start w:val="1"/>
      <w:numFmt w:val="bullet"/>
      <w:lvlText w:val=""/>
      <w:lvlJc w:val="left"/>
      <w:pPr>
        <w:ind w:left="5667" w:hanging="360"/>
      </w:pPr>
      <w:rPr>
        <w:rFonts w:ascii="Symbol" w:hAnsi="Symbol" w:hint="default"/>
      </w:rPr>
    </w:lvl>
    <w:lvl w:ilvl="7" w:tplc="08070003" w:tentative="1">
      <w:start w:val="1"/>
      <w:numFmt w:val="bullet"/>
      <w:lvlText w:val="o"/>
      <w:lvlJc w:val="left"/>
      <w:pPr>
        <w:ind w:left="6387" w:hanging="360"/>
      </w:pPr>
      <w:rPr>
        <w:rFonts w:ascii="Courier New" w:hAnsi="Courier New" w:cs="Courier New" w:hint="default"/>
      </w:rPr>
    </w:lvl>
    <w:lvl w:ilvl="8" w:tplc="08070005" w:tentative="1">
      <w:start w:val="1"/>
      <w:numFmt w:val="bullet"/>
      <w:lvlText w:val=""/>
      <w:lvlJc w:val="left"/>
      <w:pPr>
        <w:ind w:left="7107" w:hanging="360"/>
      </w:pPr>
      <w:rPr>
        <w:rFonts w:ascii="Wingdings" w:hAnsi="Wingdings" w:hint="default"/>
      </w:rPr>
    </w:lvl>
  </w:abstractNum>
  <w:abstractNum w:abstractNumId="13" w15:restartNumberingAfterBreak="0">
    <w:nsid w:val="6DFC226B"/>
    <w:multiLevelType w:val="hybridMultilevel"/>
    <w:tmpl w:val="20C6C810"/>
    <w:lvl w:ilvl="0" w:tplc="16E00702">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71051881"/>
    <w:multiLevelType w:val="hybridMultilevel"/>
    <w:tmpl w:val="5352D052"/>
    <w:lvl w:ilvl="0" w:tplc="9C5E5A66">
      <w:numFmt w:val="bullet"/>
      <w:lvlText w:val="-"/>
      <w:lvlJc w:val="left"/>
      <w:pPr>
        <w:ind w:left="720" w:hanging="360"/>
      </w:pPr>
      <w:rPr>
        <w:rFonts w:ascii="Times New Roman" w:eastAsiaTheme="minorHAns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3D16616"/>
    <w:multiLevelType w:val="multilevel"/>
    <w:tmpl w:val="46CA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C317BF"/>
    <w:multiLevelType w:val="hybridMultilevel"/>
    <w:tmpl w:val="3D4C1BF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77874011"/>
    <w:multiLevelType w:val="hybridMultilevel"/>
    <w:tmpl w:val="6A50FF4E"/>
    <w:lvl w:ilvl="0" w:tplc="ED6857A2">
      <w:start w:val="19"/>
      <w:numFmt w:val="bullet"/>
      <w:lvlText w:val="–"/>
      <w:lvlJc w:val="left"/>
      <w:pPr>
        <w:ind w:left="927" w:hanging="360"/>
      </w:pPr>
      <w:rPr>
        <w:rFonts w:ascii="Times New Roman" w:eastAsiaTheme="minorHAnsi" w:hAnsi="Times New Roman" w:cs="Times New Roman"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8" w15:restartNumberingAfterBreak="0">
    <w:nsid w:val="7A6961A2"/>
    <w:multiLevelType w:val="hybridMultilevel"/>
    <w:tmpl w:val="4156CF98"/>
    <w:lvl w:ilvl="0" w:tplc="9CF26952">
      <w:start w:val="1"/>
      <w:numFmt w:val="bullet"/>
      <w:lvlText w:val="–"/>
      <w:lvlJc w:val="left"/>
      <w:pPr>
        <w:ind w:left="720" w:hanging="360"/>
      </w:pPr>
      <w:rPr>
        <w:rFonts w:ascii="Times New Roman" w:hAnsi="Times New Roman" w:cs="Times New Roman"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8"/>
  </w:num>
  <w:num w:numId="5">
    <w:abstractNumId w:val="13"/>
  </w:num>
  <w:num w:numId="6">
    <w:abstractNumId w:val="12"/>
  </w:num>
  <w:num w:numId="7">
    <w:abstractNumId w:val="16"/>
  </w:num>
  <w:num w:numId="8">
    <w:abstractNumId w:val="2"/>
  </w:num>
  <w:num w:numId="9">
    <w:abstractNumId w:val="18"/>
  </w:num>
  <w:num w:numId="10">
    <w:abstractNumId w:val="1"/>
  </w:num>
  <w:num w:numId="11">
    <w:abstractNumId w:val="9"/>
  </w:num>
  <w:num w:numId="12">
    <w:abstractNumId w:val="11"/>
  </w:num>
  <w:num w:numId="13">
    <w:abstractNumId w:val="3"/>
  </w:num>
  <w:num w:numId="14">
    <w:abstractNumId w:val="14"/>
  </w:num>
  <w:num w:numId="15">
    <w:abstractNumId w:val="15"/>
  </w:num>
  <w:num w:numId="16">
    <w:abstractNumId w:val="10"/>
  </w:num>
  <w:num w:numId="17">
    <w:abstractNumId w:val="6"/>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DB5"/>
    <w:rsid w:val="000016DC"/>
    <w:rsid w:val="00010724"/>
    <w:rsid w:val="00014A9E"/>
    <w:rsid w:val="000170A9"/>
    <w:rsid w:val="00017F94"/>
    <w:rsid w:val="00021B22"/>
    <w:rsid w:val="00024949"/>
    <w:rsid w:val="00025C5A"/>
    <w:rsid w:val="00027027"/>
    <w:rsid w:val="00027285"/>
    <w:rsid w:val="000306DB"/>
    <w:rsid w:val="0003382C"/>
    <w:rsid w:val="00034C2E"/>
    <w:rsid w:val="000370D1"/>
    <w:rsid w:val="000516F7"/>
    <w:rsid w:val="00053484"/>
    <w:rsid w:val="000557EA"/>
    <w:rsid w:val="00060AF5"/>
    <w:rsid w:val="000676F6"/>
    <w:rsid w:val="00072AE1"/>
    <w:rsid w:val="00075AD2"/>
    <w:rsid w:val="0008450D"/>
    <w:rsid w:val="00087A98"/>
    <w:rsid w:val="00090B64"/>
    <w:rsid w:val="000954B2"/>
    <w:rsid w:val="000A70D7"/>
    <w:rsid w:val="000B44C4"/>
    <w:rsid w:val="000B50B9"/>
    <w:rsid w:val="000B648B"/>
    <w:rsid w:val="000C0296"/>
    <w:rsid w:val="000C2F7E"/>
    <w:rsid w:val="000D6A36"/>
    <w:rsid w:val="000D727F"/>
    <w:rsid w:val="000E077D"/>
    <w:rsid w:val="000E6D7D"/>
    <w:rsid w:val="000E7995"/>
    <w:rsid w:val="000F0BBC"/>
    <w:rsid w:val="000F2B77"/>
    <w:rsid w:val="000F442D"/>
    <w:rsid w:val="000F5E11"/>
    <w:rsid w:val="00100C16"/>
    <w:rsid w:val="00102CB8"/>
    <w:rsid w:val="00104D05"/>
    <w:rsid w:val="00105D2B"/>
    <w:rsid w:val="0010756B"/>
    <w:rsid w:val="001078B7"/>
    <w:rsid w:val="00110061"/>
    <w:rsid w:val="00113A54"/>
    <w:rsid w:val="001141B0"/>
    <w:rsid w:val="00120FFD"/>
    <w:rsid w:val="001249EC"/>
    <w:rsid w:val="001269A6"/>
    <w:rsid w:val="00161219"/>
    <w:rsid w:val="00162920"/>
    <w:rsid w:val="00162EC7"/>
    <w:rsid w:val="0016436F"/>
    <w:rsid w:val="00164D20"/>
    <w:rsid w:val="00165BF4"/>
    <w:rsid w:val="001738A0"/>
    <w:rsid w:val="00175867"/>
    <w:rsid w:val="00177B98"/>
    <w:rsid w:val="0018138C"/>
    <w:rsid w:val="00181B99"/>
    <w:rsid w:val="00182D25"/>
    <w:rsid w:val="00190984"/>
    <w:rsid w:val="00192AC2"/>
    <w:rsid w:val="00193B4C"/>
    <w:rsid w:val="001950FC"/>
    <w:rsid w:val="001959F8"/>
    <w:rsid w:val="00195F78"/>
    <w:rsid w:val="0019729E"/>
    <w:rsid w:val="001A25CA"/>
    <w:rsid w:val="001A42C1"/>
    <w:rsid w:val="001C1D0B"/>
    <w:rsid w:val="001C559A"/>
    <w:rsid w:val="001D03BC"/>
    <w:rsid w:val="001D1C6D"/>
    <w:rsid w:val="001D43EC"/>
    <w:rsid w:val="001E26A8"/>
    <w:rsid w:val="001E5CBE"/>
    <w:rsid w:val="001E771A"/>
    <w:rsid w:val="001F33CD"/>
    <w:rsid w:val="001F3B46"/>
    <w:rsid w:val="001F62FF"/>
    <w:rsid w:val="00205E47"/>
    <w:rsid w:val="002061C9"/>
    <w:rsid w:val="00207EE9"/>
    <w:rsid w:val="00212A76"/>
    <w:rsid w:val="00212D72"/>
    <w:rsid w:val="00215A87"/>
    <w:rsid w:val="00216A84"/>
    <w:rsid w:val="0022033F"/>
    <w:rsid w:val="00220D90"/>
    <w:rsid w:val="002253A9"/>
    <w:rsid w:val="00231A20"/>
    <w:rsid w:val="002426A7"/>
    <w:rsid w:val="0025114B"/>
    <w:rsid w:val="00256E53"/>
    <w:rsid w:val="0026379B"/>
    <w:rsid w:val="00264CAA"/>
    <w:rsid w:val="0026674C"/>
    <w:rsid w:val="00273F99"/>
    <w:rsid w:val="002745E6"/>
    <w:rsid w:val="00280D27"/>
    <w:rsid w:val="00281B47"/>
    <w:rsid w:val="002825C4"/>
    <w:rsid w:val="0028341D"/>
    <w:rsid w:val="0028399E"/>
    <w:rsid w:val="002866A6"/>
    <w:rsid w:val="00292728"/>
    <w:rsid w:val="002927CB"/>
    <w:rsid w:val="002960AF"/>
    <w:rsid w:val="0029758F"/>
    <w:rsid w:val="00297EC4"/>
    <w:rsid w:val="00297FD1"/>
    <w:rsid w:val="002A04AC"/>
    <w:rsid w:val="002A4EC4"/>
    <w:rsid w:val="002A510C"/>
    <w:rsid w:val="002A5264"/>
    <w:rsid w:val="002B10B4"/>
    <w:rsid w:val="002B139F"/>
    <w:rsid w:val="002B68B3"/>
    <w:rsid w:val="002B6EC9"/>
    <w:rsid w:val="002C13FF"/>
    <w:rsid w:val="002C3FFE"/>
    <w:rsid w:val="002C6CF1"/>
    <w:rsid w:val="002D4CD6"/>
    <w:rsid w:val="002D6656"/>
    <w:rsid w:val="002D6F57"/>
    <w:rsid w:val="002E13A9"/>
    <w:rsid w:val="002E1450"/>
    <w:rsid w:val="002E22FE"/>
    <w:rsid w:val="002F5E14"/>
    <w:rsid w:val="002F6B8F"/>
    <w:rsid w:val="002F77DE"/>
    <w:rsid w:val="00300594"/>
    <w:rsid w:val="00300EE0"/>
    <w:rsid w:val="00301D84"/>
    <w:rsid w:val="00301EB5"/>
    <w:rsid w:val="00307E5A"/>
    <w:rsid w:val="003151EE"/>
    <w:rsid w:val="0031552A"/>
    <w:rsid w:val="00321901"/>
    <w:rsid w:val="003225DD"/>
    <w:rsid w:val="0032473F"/>
    <w:rsid w:val="003305C3"/>
    <w:rsid w:val="00331E52"/>
    <w:rsid w:val="00333882"/>
    <w:rsid w:val="00334574"/>
    <w:rsid w:val="00341922"/>
    <w:rsid w:val="00342B8F"/>
    <w:rsid w:val="003448A2"/>
    <w:rsid w:val="00345D69"/>
    <w:rsid w:val="0034774A"/>
    <w:rsid w:val="00351C63"/>
    <w:rsid w:val="00364F5C"/>
    <w:rsid w:val="003700EA"/>
    <w:rsid w:val="003714E7"/>
    <w:rsid w:val="0037620C"/>
    <w:rsid w:val="003815D0"/>
    <w:rsid w:val="00382BFC"/>
    <w:rsid w:val="003839CD"/>
    <w:rsid w:val="00383BF4"/>
    <w:rsid w:val="00395BDB"/>
    <w:rsid w:val="003967BC"/>
    <w:rsid w:val="003967D7"/>
    <w:rsid w:val="003A1FE7"/>
    <w:rsid w:val="003A31C5"/>
    <w:rsid w:val="003A3F70"/>
    <w:rsid w:val="003A648F"/>
    <w:rsid w:val="003A7516"/>
    <w:rsid w:val="003A7983"/>
    <w:rsid w:val="003B1911"/>
    <w:rsid w:val="003C003C"/>
    <w:rsid w:val="003C01D7"/>
    <w:rsid w:val="003C055B"/>
    <w:rsid w:val="003C06B8"/>
    <w:rsid w:val="003C52BD"/>
    <w:rsid w:val="003C56F3"/>
    <w:rsid w:val="003E34BD"/>
    <w:rsid w:val="003E3F9F"/>
    <w:rsid w:val="003E71FA"/>
    <w:rsid w:val="003E7A5F"/>
    <w:rsid w:val="003F0477"/>
    <w:rsid w:val="003F4F8E"/>
    <w:rsid w:val="003F51C9"/>
    <w:rsid w:val="00401CA2"/>
    <w:rsid w:val="00401E18"/>
    <w:rsid w:val="00402B09"/>
    <w:rsid w:val="00407A7E"/>
    <w:rsid w:val="0041027C"/>
    <w:rsid w:val="00417778"/>
    <w:rsid w:val="0042080F"/>
    <w:rsid w:val="00427F8B"/>
    <w:rsid w:val="004314DD"/>
    <w:rsid w:val="0043202C"/>
    <w:rsid w:val="00443D28"/>
    <w:rsid w:val="00451A3D"/>
    <w:rsid w:val="004539F9"/>
    <w:rsid w:val="00455E84"/>
    <w:rsid w:val="00457372"/>
    <w:rsid w:val="00457E97"/>
    <w:rsid w:val="00463D4F"/>
    <w:rsid w:val="00473CF9"/>
    <w:rsid w:val="004768F4"/>
    <w:rsid w:val="00476AEE"/>
    <w:rsid w:val="00477C59"/>
    <w:rsid w:val="00481886"/>
    <w:rsid w:val="004825AE"/>
    <w:rsid w:val="00483AEE"/>
    <w:rsid w:val="00483E4D"/>
    <w:rsid w:val="00486F09"/>
    <w:rsid w:val="004929D1"/>
    <w:rsid w:val="00492A41"/>
    <w:rsid w:val="0049338D"/>
    <w:rsid w:val="00493667"/>
    <w:rsid w:val="00495B39"/>
    <w:rsid w:val="0049717C"/>
    <w:rsid w:val="004A0F95"/>
    <w:rsid w:val="004B4602"/>
    <w:rsid w:val="004C54C8"/>
    <w:rsid w:val="004C59C6"/>
    <w:rsid w:val="004C60E9"/>
    <w:rsid w:val="004C6D8D"/>
    <w:rsid w:val="004D2C34"/>
    <w:rsid w:val="004D4BD4"/>
    <w:rsid w:val="004E6267"/>
    <w:rsid w:val="004E6940"/>
    <w:rsid w:val="004F0892"/>
    <w:rsid w:val="004F63EC"/>
    <w:rsid w:val="004F71E2"/>
    <w:rsid w:val="0050127E"/>
    <w:rsid w:val="005020D4"/>
    <w:rsid w:val="00503107"/>
    <w:rsid w:val="00506D64"/>
    <w:rsid w:val="00507272"/>
    <w:rsid w:val="00510344"/>
    <w:rsid w:val="0051053D"/>
    <w:rsid w:val="00511CD6"/>
    <w:rsid w:val="00527A5A"/>
    <w:rsid w:val="00527F50"/>
    <w:rsid w:val="0053039B"/>
    <w:rsid w:val="00532481"/>
    <w:rsid w:val="0053302F"/>
    <w:rsid w:val="00541B4D"/>
    <w:rsid w:val="005468C3"/>
    <w:rsid w:val="00547A48"/>
    <w:rsid w:val="005504F6"/>
    <w:rsid w:val="00552C9C"/>
    <w:rsid w:val="00554B30"/>
    <w:rsid w:val="00555FA6"/>
    <w:rsid w:val="00560D83"/>
    <w:rsid w:val="00562064"/>
    <w:rsid w:val="00565A8A"/>
    <w:rsid w:val="00565D9E"/>
    <w:rsid w:val="00571E86"/>
    <w:rsid w:val="00574B49"/>
    <w:rsid w:val="00574E2B"/>
    <w:rsid w:val="00584497"/>
    <w:rsid w:val="00586616"/>
    <w:rsid w:val="00587617"/>
    <w:rsid w:val="00587619"/>
    <w:rsid w:val="00587D22"/>
    <w:rsid w:val="00591EA6"/>
    <w:rsid w:val="00593C25"/>
    <w:rsid w:val="005A0D7D"/>
    <w:rsid w:val="005A644C"/>
    <w:rsid w:val="005A679B"/>
    <w:rsid w:val="005C2A77"/>
    <w:rsid w:val="005C3A88"/>
    <w:rsid w:val="005D3747"/>
    <w:rsid w:val="005D4F22"/>
    <w:rsid w:val="005D66F8"/>
    <w:rsid w:val="005D6A22"/>
    <w:rsid w:val="005E0990"/>
    <w:rsid w:val="005E18E8"/>
    <w:rsid w:val="005E246C"/>
    <w:rsid w:val="005E4805"/>
    <w:rsid w:val="005E54E6"/>
    <w:rsid w:val="005F01F8"/>
    <w:rsid w:val="006002D4"/>
    <w:rsid w:val="0060143E"/>
    <w:rsid w:val="00605F6E"/>
    <w:rsid w:val="0062056F"/>
    <w:rsid w:val="00621067"/>
    <w:rsid w:val="00622825"/>
    <w:rsid w:val="006234BC"/>
    <w:rsid w:val="0062535D"/>
    <w:rsid w:val="00625BD3"/>
    <w:rsid w:val="006319CC"/>
    <w:rsid w:val="00633EBE"/>
    <w:rsid w:val="006424EC"/>
    <w:rsid w:val="0064399A"/>
    <w:rsid w:val="0065473C"/>
    <w:rsid w:val="00654BF7"/>
    <w:rsid w:val="00660BB7"/>
    <w:rsid w:val="00662AA4"/>
    <w:rsid w:val="006642BE"/>
    <w:rsid w:val="0066555B"/>
    <w:rsid w:val="00665AAD"/>
    <w:rsid w:val="00670891"/>
    <w:rsid w:val="00675D55"/>
    <w:rsid w:val="00677475"/>
    <w:rsid w:val="00677E1E"/>
    <w:rsid w:val="00685FCF"/>
    <w:rsid w:val="00693E78"/>
    <w:rsid w:val="006B3FAC"/>
    <w:rsid w:val="006B40C6"/>
    <w:rsid w:val="006B72A3"/>
    <w:rsid w:val="006C0896"/>
    <w:rsid w:val="006C1A15"/>
    <w:rsid w:val="006C5766"/>
    <w:rsid w:val="006C7E70"/>
    <w:rsid w:val="006D19D8"/>
    <w:rsid w:val="006D38F8"/>
    <w:rsid w:val="006D76BC"/>
    <w:rsid w:val="006E165F"/>
    <w:rsid w:val="006E16DF"/>
    <w:rsid w:val="006E30A3"/>
    <w:rsid w:val="006E32DD"/>
    <w:rsid w:val="006E39DA"/>
    <w:rsid w:val="006E4CCA"/>
    <w:rsid w:val="006F104B"/>
    <w:rsid w:val="006F1B42"/>
    <w:rsid w:val="006F4B40"/>
    <w:rsid w:val="006F7F5B"/>
    <w:rsid w:val="00712A80"/>
    <w:rsid w:val="00713C8E"/>
    <w:rsid w:val="007165F0"/>
    <w:rsid w:val="0072174A"/>
    <w:rsid w:val="00730086"/>
    <w:rsid w:val="00736A28"/>
    <w:rsid w:val="00736E2B"/>
    <w:rsid w:val="00745D25"/>
    <w:rsid w:val="00747466"/>
    <w:rsid w:val="00755425"/>
    <w:rsid w:val="00757EBF"/>
    <w:rsid w:val="00761458"/>
    <w:rsid w:val="00762B81"/>
    <w:rsid w:val="00765C13"/>
    <w:rsid w:val="00765EF4"/>
    <w:rsid w:val="0076711C"/>
    <w:rsid w:val="00770C2F"/>
    <w:rsid w:val="00771C18"/>
    <w:rsid w:val="007720F0"/>
    <w:rsid w:val="0077364F"/>
    <w:rsid w:val="0077431A"/>
    <w:rsid w:val="007772FE"/>
    <w:rsid w:val="007802F1"/>
    <w:rsid w:val="00794290"/>
    <w:rsid w:val="00794C8C"/>
    <w:rsid w:val="0079535F"/>
    <w:rsid w:val="007959B3"/>
    <w:rsid w:val="007A1748"/>
    <w:rsid w:val="007A26DA"/>
    <w:rsid w:val="007A2A71"/>
    <w:rsid w:val="007A2DB5"/>
    <w:rsid w:val="007B01D2"/>
    <w:rsid w:val="007C26B4"/>
    <w:rsid w:val="007C5BD3"/>
    <w:rsid w:val="007D6C51"/>
    <w:rsid w:val="007E06D5"/>
    <w:rsid w:val="007E07CE"/>
    <w:rsid w:val="007F6878"/>
    <w:rsid w:val="00800A69"/>
    <w:rsid w:val="00805D8A"/>
    <w:rsid w:val="00811ADD"/>
    <w:rsid w:val="00813830"/>
    <w:rsid w:val="00813CEA"/>
    <w:rsid w:val="008147D0"/>
    <w:rsid w:val="00821593"/>
    <w:rsid w:val="0082391F"/>
    <w:rsid w:val="00825C46"/>
    <w:rsid w:val="00833812"/>
    <w:rsid w:val="00834D3B"/>
    <w:rsid w:val="0084340D"/>
    <w:rsid w:val="0084433F"/>
    <w:rsid w:val="008539C4"/>
    <w:rsid w:val="00854910"/>
    <w:rsid w:val="008562C2"/>
    <w:rsid w:val="00862076"/>
    <w:rsid w:val="00864891"/>
    <w:rsid w:val="008765E6"/>
    <w:rsid w:val="00881E74"/>
    <w:rsid w:val="00882BDA"/>
    <w:rsid w:val="00883721"/>
    <w:rsid w:val="00885AE8"/>
    <w:rsid w:val="0089476F"/>
    <w:rsid w:val="0089623C"/>
    <w:rsid w:val="008A16FD"/>
    <w:rsid w:val="008A3E3F"/>
    <w:rsid w:val="008A5020"/>
    <w:rsid w:val="008A671B"/>
    <w:rsid w:val="008B2F91"/>
    <w:rsid w:val="008B4166"/>
    <w:rsid w:val="008B6E8F"/>
    <w:rsid w:val="008C0B74"/>
    <w:rsid w:val="008C16DE"/>
    <w:rsid w:val="008C4507"/>
    <w:rsid w:val="008C7654"/>
    <w:rsid w:val="008D0EA2"/>
    <w:rsid w:val="008D52AD"/>
    <w:rsid w:val="008E03EC"/>
    <w:rsid w:val="008E326E"/>
    <w:rsid w:val="008E3C81"/>
    <w:rsid w:val="008E50EC"/>
    <w:rsid w:val="008E5D8E"/>
    <w:rsid w:val="008F0CE1"/>
    <w:rsid w:val="008F6F4B"/>
    <w:rsid w:val="008F7296"/>
    <w:rsid w:val="009014C6"/>
    <w:rsid w:val="00901A9B"/>
    <w:rsid w:val="00902F1E"/>
    <w:rsid w:val="00903D27"/>
    <w:rsid w:val="00914245"/>
    <w:rsid w:val="0092306C"/>
    <w:rsid w:val="009344E0"/>
    <w:rsid w:val="00935CB6"/>
    <w:rsid w:val="009428FB"/>
    <w:rsid w:val="0095093C"/>
    <w:rsid w:val="00960E3E"/>
    <w:rsid w:val="00961146"/>
    <w:rsid w:val="009616F6"/>
    <w:rsid w:val="00962B39"/>
    <w:rsid w:val="00964056"/>
    <w:rsid w:val="009705CC"/>
    <w:rsid w:val="00970E1E"/>
    <w:rsid w:val="0098091A"/>
    <w:rsid w:val="0098213C"/>
    <w:rsid w:val="00990E73"/>
    <w:rsid w:val="009A1E43"/>
    <w:rsid w:val="009A3AD8"/>
    <w:rsid w:val="009A7344"/>
    <w:rsid w:val="009B28AC"/>
    <w:rsid w:val="009B49B4"/>
    <w:rsid w:val="009C3EC1"/>
    <w:rsid w:val="009C5ED6"/>
    <w:rsid w:val="009D39DA"/>
    <w:rsid w:val="009D4C20"/>
    <w:rsid w:val="009F7C93"/>
    <w:rsid w:val="00A0092C"/>
    <w:rsid w:val="00A01297"/>
    <w:rsid w:val="00A01719"/>
    <w:rsid w:val="00A077C4"/>
    <w:rsid w:val="00A11C6D"/>
    <w:rsid w:val="00A13EAC"/>
    <w:rsid w:val="00A15062"/>
    <w:rsid w:val="00A174B2"/>
    <w:rsid w:val="00A20494"/>
    <w:rsid w:val="00A20A8F"/>
    <w:rsid w:val="00A23D30"/>
    <w:rsid w:val="00A2574B"/>
    <w:rsid w:val="00A30D7E"/>
    <w:rsid w:val="00A3174E"/>
    <w:rsid w:val="00A331E0"/>
    <w:rsid w:val="00A331FC"/>
    <w:rsid w:val="00A34A1F"/>
    <w:rsid w:val="00A355FF"/>
    <w:rsid w:val="00A3672E"/>
    <w:rsid w:val="00A42804"/>
    <w:rsid w:val="00A42B8D"/>
    <w:rsid w:val="00A46806"/>
    <w:rsid w:val="00A4680C"/>
    <w:rsid w:val="00A471DE"/>
    <w:rsid w:val="00A56AC1"/>
    <w:rsid w:val="00A60563"/>
    <w:rsid w:val="00A61011"/>
    <w:rsid w:val="00A639BA"/>
    <w:rsid w:val="00A63A62"/>
    <w:rsid w:val="00A65522"/>
    <w:rsid w:val="00A70674"/>
    <w:rsid w:val="00A827A9"/>
    <w:rsid w:val="00A832BF"/>
    <w:rsid w:val="00A867A6"/>
    <w:rsid w:val="00A87058"/>
    <w:rsid w:val="00A94F33"/>
    <w:rsid w:val="00A97B1A"/>
    <w:rsid w:val="00AA07F3"/>
    <w:rsid w:val="00AA136D"/>
    <w:rsid w:val="00AA798F"/>
    <w:rsid w:val="00AB05AE"/>
    <w:rsid w:val="00AB2D68"/>
    <w:rsid w:val="00AB3489"/>
    <w:rsid w:val="00AB7102"/>
    <w:rsid w:val="00AC3A77"/>
    <w:rsid w:val="00AC7E16"/>
    <w:rsid w:val="00AD1FFB"/>
    <w:rsid w:val="00AD2270"/>
    <w:rsid w:val="00AE4748"/>
    <w:rsid w:val="00AF64CA"/>
    <w:rsid w:val="00AF7065"/>
    <w:rsid w:val="00B06CF0"/>
    <w:rsid w:val="00B070C1"/>
    <w:rsid w:val="00B0778E"/>
    <w:rsid w:val="00B109AE"/>
    <w:rsid w:val="00B16DFA"/>
    <w:rsid w:val="00B204D7"/>
    <w:rsid w:val="00B20515"/>
    <w:rsid w:val="00B21CC6"/>
    <w:rsid w:val="00B31195"/>
    <w:rsid w:val="00B33F7E"/>
    <w:rsid w:val="00B355C4"/>
    <w:rsid w:val="00B421E3"/>
    <w:rsid w:val="00B43B2D"/>
    <w:rsid w:val="00B50759"/>
    <w:rsid w:val="00B5242D"/>
    <w:rsid w:val="00B54496"/>
    <w:rsid w:val="00B5736B"/>
    <w:rsid w:val="00B5748E"/>
    <w:rsid w:val="00B6079F"/>
    <w:rsid w:val="00B631BC"/>
    <w:rsid w:val="00B64060"/>
    <w:rsid w:val="00B64360"/>
    <w:rsid w:val="00B66876"/>
    <w:rsid w:val="00B72A85"/>
    <w:rsid w:val="00B76E0E"/>
    <w:rsid w:val="00B779F0"/>
    <w:rsid w:val="00B80EDA"/>
    <w:rsid w:val="00B80EF5"/>
    <w:rsid w:val="00B81DEE"/>
    <w:rsid w:val="00B82273"/>
    <w:rsid w:val="00B8254C"/>
    <w:rsid w:val="00B84383"/>
    <w:rsid w:val="00B850BF"/>
    <w:rsid w:val="00B85A0A"/>
    <w:rsid w:val="00B91D9B"/>
    <w:rsid w:val="00B92F56"/>
    <w:rsid w:val="00BB0ACE"/>
    <w:rsid w:val="00BB17EE"/>
    <w:rsid w:val="00BB3F2E"/>
    <w:rsid w:val="00BC2E2A"/>
    <w:rsid w:val="00BC6FD4"/>
    <w:rsid w:val="00BD595B"/>
    <w:rsid w:val="00BD76FD"/>
    <w:rsid w:val="00BE2620"/>
    <w:rsid w:val="00BE2E9B"/>
    <w:rsid w:val="00BE7345"/>
    <w:rsid w:val="00BE78D8"/>
    <w:rsid w:val="00BF4E1A"/>
    <w:rsid w:val="00C02D57"/>
    <w:rsid w:val="00C03F2C"/>
    <w:rsid w:val="00C04868"/>
    <w:rsid w:val="00C15C55"/>
    <w:rsid w:val="00C16235"/>
    <w:rsid w:val="00C1737F"/>
    <w:rsid w:val="00C24DA3"/>
    <w:rsid w:val="00C26C5E"/>
    <w:rsid w:val="00C3149C"/>
    <w:rsid w:val="00C32E74"/>
    <w:rsid w:val="00C337EC"/>
    <w:rsid w:val="00C33C70"/>
    <w:rsid w:val="00C342AA"/>
    <w:rsid w:val="00C3716C"/>
    <w:rsid w:val="00C47D1A"/>
    <w:rsid w:val="00C50607"/>
    <w:rsid w:val="00C568E7"/>
    <w:rsid w:val="00C5776C"/>
    <w:rsid w:val="00C57CEF"/>
    <w:rsid w:val="00C616D7"/>
    <w:rsid w:val="00C65494"/>
    <w:rsid w:val="00C74449"/>
    <w:rsid w:val="00C80EEA"/>
    <w:rsid w:val="00C819BF"/>
    <w:rsid w:val="00C82930"/>
    <w:rsid w:val="00C90CE9"/>
    <w:rsid w:val="00C91D06"/>
    <w:rsid w:val="00C9715D"/>
    <w:rsid w:val="00C97CEA"/>
    <w:rsid w:val="00CA51ED"/>
    <w:rsid w:val="00CB2B3B"/>
    <w:rsid w:val="00CB2BAA"/>
    <w:rsid w:val="00CB55F6"/>
    <w:rsid w:val="00CC29C6"/>
    <w:rsid w:val="00CE353E"/>
    <w:rsid w:val="00CE5633"/>
    <w:rsid w:val="00CF36E9"/>
    <w:rsid w:val="00CF3D96"/>
    <w:rsid w:val="00CF3FFC"/>
    <w:rsid w:val="00CF4310"/>
    <w:rsid w:val="00CF58FE"/>
    <w:rsid w:val="00CF6B3E"/>
    <w:rsid w:val="00D01D5A"/>
    <w:rsid w:val="00D03049"/>
    <w:rsid w:val="00D115A5"/>
    <w:rsid w:val="00D13C46"/>
    <w:rsid w:val="00D153BE"/>
    <w:rsid w:val="00D156D4"/>
    <w:rsid w:val="00D20D87"/>
    <w:rsid w:val="00D3479F"/>
    <w:rsid w:val="00D53E13"/>
    <w:rsid w:val="00D54880"/>
    <w:rsid w:val="00D555DB"/>
    <w:rsid w:val="00D5795D"/>
    <w:rsid w:val="00D57D51"/>
    <w:rsid w:val="00D60FC2"/>
    <w:rsid w:val="00D61B88"/>
    <w:rsid w:val="00D62E6B"/>
    <w:rsid w:val="00D647E6"/>
    <w:rsid w:val="00D701AF"/>
    <w:rsid w:val="00D705DC"/>
    <w:rsid w:val="00D72641"/>
    <w:rsid w:val="00D726F0"/>
    <w:rsid w:val="00D775EF"/>
    <w:rsid w:val="00D80353"/>
    <w:rsid w:val="00D807E3"/>
    <w:rsid w:val="00D8084E"/>
    <w:rsid w:val="00D81A78"/>
    <w:rsid w:val="00D823AA"/>
    <w:rsid w:val="00D86D3E"/>
    <w:rsid w:val="00D874A5"/>
    <w:rsid w:val="00D938F3"/>
    <w:rsid w:val="00D93DDB"/>
    <w:rsid w:val="00D951FA"/>
    <w:rsid w:val="00D95AF1"/>
    <w:rsid w:val="00DA0143"/>
    <w:rsid w:val="00DA33A5"/>
    <w:rsid w:val="00DA4FA3"/>
    <w:rsid w:val="00DB47DD"/>
    <w:rsid w:val="00DB4A07"/>
    <w:rsid w:val="00DB4CB6"/>
    <w:rsid w:val="00DB6606"/>
    <w:rsid w:val="00DC0102"/>
    <w:rsid w:val="00DC16C1"/>
    <w:rsid w:val="00DC2F7D"/>
    <w:rsid w:val="00DC4E77"/>
    <w:rsid w:val="00DD1617"/>
    <w:rsid w:val="00DD2F96"/>
    <w:rsid w:val="00DD3277"/>
    <w:rsid w:val="00DD379A"/>
    <w:rsid w:val="00DD40A3"/>
    <w:rsid w:val="00DD558E"/>
    <w:rsid w:val="00DD6A07"/>
    <w:rsid w:val="00DE3080"/>
    <w:rsid w:val="00DE6686"/>
    <w:rsid w:val="00DF1A68"/>
    <w:rsid w:val="00DF1A6D"/>
    <w:rsid w:val="00DF20CB"/>
    <w:rsid w:val="00DF233F"/>
    <w:rsid w:val="00DF2FC0"/>
    <w:rsid w:val="00DF4B0E"/>
    <w:rsid w:val="00DF606D"/>
    <w:rsid w:val="00E0015F"/>
    <w:rsid w:val="00E00CFF"/>
    <w:rsid w:val="00E013BC"/>
    <w:rsid w:val="00E13C89"/>
    <w:rsid w:val="00E20E47"/>
    <w:rsid w:val="00E213F4"/>
    <w:rsid w:val="00E226B4"/>
    <w:rsid w:val="00E2537D"/>
    <w:rsid w:val="00E330E3"/>
    <w:rsid w:val="00E33C24"/>
    <w:rsid w:val="00E361F4"/>
    <w:rsid w:val="00E400D0"/>
    <w:rsid w:val="00E40140"/>
    <w:rsid w:val="00E45A4D"/>
    <w:rsid w:val="00E51667"/>
    <w:rsid w:val="00E564A4"/>
    <w:rsid w:val="00E57C79"/>
    <w:rsid w:val="00E63128"/>
    <w:rsid w:val="00E70A29"/>
    <w:rsid w:val="00E72327"/>
    <w:rsid w:val="00E73AAF"/>
    <w:rsid w:val="00E757B9"/>
    <w:rsid w:val="00E80439"/>
    <w:rsid w:val="00E85021"/>
    <w:rsid w:val="00E93B06"/>
    <w:rsid w:val="00E93D97"/>
    <w:rsid w:val="00E955B0"/>
    <w:rsid w:val="00EA31E9"/>
    <w:rsid w:val="00EA66FC"/>
    <w:rsid w:val="00EA7E70"/>
    <w:rsid w:val="00EB1739"/>
    <w:rsid w:val="00EB396A"/>
    <w:rsid w:val="00EB546F"/>
    <w:rsid w:val="00EC3680"/>
    <w:rsid w:val="00EC454C"/>
    <w:rsid w:val="00EC71B3"/>
    <w:rsid w:val="00ED1771"/>
    <w:rsid w:val="00ED78DB"/>
    <w:rsid w:val="00EE2FC4"/>
    <w:rsid w:val="00EE498B"/>
    <w:rsid w:val="00EF0CF0"/>
    <w:rsid w:val="00EF434E"/>
    <w:rsid w:val="00EF6441"/>
    <w:rsid w:val="00EF7366"/>
    <w:rsid w:val="00EF755D"/>
    <w:rsid w:val="00F03F1F"/>
    <w:rsid w:val="00F041FE"/>
    <w:rsid w:val="00F061E4"/>
    <w:rsid w:val="00F112C8"/>
    <w:rsid w:val="00F115B6"/>
    <w:rsid w:val="00F157E8"/>
    <w:rsid w:val="00F17E1C"/>
    <w:rsid w:val="00F20809"/>
    <w:rsid w:val="00F21B7F"/>
    <w:rsid w:val="00F240FD"/>
    <w:rsid w:val="00F26D6D"/>
    <w:rsid w:val="00F30FF7"/>
    <w:rsid w:val="00F36DD3"/>
    <w:rsid w:val="00F41E45"/>
    <w:rsid w:val="00F51BE4"/>
    <w:rsid w:val="00F52D0A"/>
    <w:rsid w:val="00F53A42"/>
    <w:rsid w:val="00F62042"/>
    <w:rsid w:val="00F638EB"/>
    <w:rsid w:val="00F63AF6"/>
    <w:rsid w:val="00F6418A"/>
    <w:rsid w:val="00F66A26"/>
    <w:rsid w:val="00F73B9B"/>
    <w:rsid w:val="00F73EF6"/>
    <w:rsid w:val="00F83E98"/>
    <w:rsid w:val="00F86CFD"/>
    <w:rsid w:val="00F90BE9"/>
    <w:rsid w:val="00F92CCD"/>
    <w:rsid w:val="00F946FC"/>
    <w:rsid w:val="00FA2FBB"/>
    <w:rsid w:val="00FA7A4D"/>
    <w:rsid w:val="00FA7B0C"/>
    <w:rsid w:val="00FB6D4C"/>
    <w:rsid w:val="00FC21DD"/>
    <w:rsid w:val="00FD1D3B"/>
    <w:rsid w:val="00FD2B3C"/>
    <w:rsid w:val="00FD4E20"/>
    <w:rsid w:val="00FE4183"/>
    <w:rsid w:val="00FE6568"/>
    <w:rsid w:val="00FF4E0D"/>
    <w:rsid w:val="00FF5C0A"/>
    <w:rsid w:val="00FF64F2"/>
    <w:rsid w:val="00FF666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7D0DC7"/>
  <w15:docId w15:val="{F737117B-C03A-3A4C-9682-F8C30863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uiPriority="39"/>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20D4"/>
    <w:pPr>
      <w:tabs>
        <w:tab w:val="left" w:pos="397"/>
      </w:tabs>
      <w:spacing w:before="200" w:after="0" w:line="340" w:lineRule="exact"/>
      <w:jc w:val="both"/>
    </w:pPr>
    <w:rPr>
      <w:rFonts w:ascii="Times New Roman" w:hAnsi="Times New Roman" w:cs="Times New Roman (Textkörper CS)"/>
      <w:sz w:val="24"/>
    </w:rPr>
  </w:style>
  <w:style w:type="paragraph" w:styleId="berschrift1">
    <w:name w:val="heading 1"/>
    <w:next w:val="Standard"/>
    <w:link w:val="berschrift1Zchn"/>
    <w:uiPriority w:val="9"/>
    <w:qFormat/>
    <w:rsid w:val="00D153BE"/>
    <w:pPr>
      <w:keepNext/>
      <w:keepLines/>
      <w:spacing w:before="560" w:line="240" w:lineRule="auto"/>
      <w:ind w:left="709" w:hanging="709"/>
      <w:outlineLvl w:val="0"/>
    </w:pPr>
    <w:rPr>
      <w:rFonts w:ascii="Palatino Linotype" w:eastAsiaTheme="majorEastAsia" w:hAnsi="Palatino Linotype" w:cstheme="majorBidi"/>
      <w:b/>
      <w:bCs/>
      <w:sz w:val="30"/>
      <w:szCs w:val="28"/>
    </w:rPr>
  </w:style>
  <w:style w:type="paragraph" w:styleId="berschrift2">
    <w:name w:val="heading 2"/>
    <w:next w:val="Standard"/>
    <w:link w:val="berschrift2Zchn"/>
    <w:uiPriority w:val="9"/>
    <w:qFormat/>
    <w:rsid w:val="001C559A"/>
    <w:pPr>
      <w:keepNext/>
      <w:keepLines/>
      <w:spacing w:before="440" w:line="240" w:lineRule="auto"/>
      <w:ind w:left="709" w:hanging="709"/>
      <w:outlineLvl w:val="1"/>
    </w:pPr>
    <w:rPr>
      <w:rFonts w:ascii="Palatino Linotype" w:eastAsiaTheme="majorEastAsia" w:hAnsi="Palatino Linotype" w:cstheme="majorBidi"/>
      <w:b/>
      <w:bCs/>
      <w:sz w:val="27"/>
      <w:szCs w:val="26"/>
    </w:rPr>
  </w:style>
  <w:style w:type="paragraph" w:styleId="berschrift3">
    <w:name w:val="heading 3"/>
    <w:next w:val="Standard"/>
    <w:link w:val="berschrift3Zchn"/>
    <w:uiPriority w:val="9"/>
    <w:qFormat/>
    <w:rsid w:val="008A671B"/>
    <w:pPr>
      <w:keepNext/>
      <w:keepLines/>
      <w:spacing w:before="360" w:after="120" w:line="240" w:lineRule="auto"/>
      <w:ind w:left="709" w:hanging="709"/>
      <w:outlineLvl w:val="2"/>
    </w:pPr>
    <w:rPr>
      <w:rFonts w:ascii="Palatino Linotype" w:eastAsiaTheme="majorEastAsia" w:hAnsi="Palatino Linotype" w:cstheme="majorBidi"/>
      <w:b/>
      <w:bCs/>
      <w:sz w:val="25"/>
    </w:rPr>
  </w:style>
  <w:style w:type="paragraph" w:styleId="berschrift4">
    <w:name w:val="heading 4"/>
    <w:next w:val="Standard"/>
    <w:link w:val="berschrift4Zchn"/>
    <w:uiPriority w:val="9"/>
    <w:qFormat/>
    <w:rsid w:val="008A671B"/>
    <w:pPr>
      <w:keepNext/>
      <w:keepLines/>
      <w:spacing w:before="280" w:after="120" w:line="240" w:lineRule="auto"/>
      <w:ind w:left="709" w:hanging="709"/>
      <w:outlineLvl w:val="3"/>
    </w:pPr>
    <w:rPr>
      <w:rFonts w:ascii="Palatino Linotype" w:eastAsiaTheme="majorEastAsia" w:hAnsi="Palatino Linotype" w:cstheme="majorBidi"/>
      <w:b/>
      <w:bCs/>
      <w:iCs/>
      <w:sz w:val="23"/>
    </w:rPr>
  </w:style>
  <w:style w:type="paragraph" w:styleId="berschrift5">
    <w:name w:val="heading 5"/>
    <w:basedOn w:val="berschrift1"/>
    <w:next w:val="Standard"/>
    <w:link w:val="berschrift5Zchn"/>
    <w:uiPriority w:val="9"/>
    <w:qFormat/>
    <w:rsid w:val="008A671B"/>
    <w:pPr>
      <w:spacing w:before="240" w:after="60"/>
      <w:outlineLvl w:val="4"/>
    </w:pPr>
    <w:rPr>
      <w:sz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E">
    <w:name w:val="StandardE"/>
    <w:link w:val="StandardEChar"/>
    <w:qFormat/>
    <w:rsid w:val="009A7344"/>
    <w:pPr>
      <w:spacing w:after="0" w:line="340" w:lineRule="exact"/>
      <w:ind w:firstLine="397"/>
      <w:jc w:val="both"/>
    </w:pPr>
    <w:rPr>
      <w:rFonts w:ascii="Times New Roman" w:hAnsi="Times New Roman" w:cs="Times New Roman (Textkörper CS)"/>
      <w:sz w:val="24"/>
    </w:rPr>
  </w:style>
  <w:style w:type="paragraph" w:styleId="Funotentext">
    <w:name w:val="footnote text"/>
    <w:basedOn w:val="Standard"/>
    <w:link w:val="FunotentextZchn"/>
    <w:uiPriority w:val="99"/>
    <w:rsid w:val="001D43EC"/>
    <w:pPr>
      <w:spacing w:before="0" w:line="280" w:lineRule="exact"/>
      <w:ind w:left="397" w:hanging="397"/>
    </w:pPr>
    <w:rPr>
      <w:sz w:val="20"/>
      <w:szCs w:val="20"/>
    </w:rPr>
  </w:style>
  <w:style w:type="character" w:customStyle="1" w:styleId="FunotentextZchn">
    <w:name w:val="Fußnotentext Zchn"/>
    <w:basedOn w:val="Absatz-Standardschriftart"/>
    <w:link w:val="Funotentext"/>
    <w:uiPriority w:val="99"/>
    <w:rsid w:val="001D43EC"/>
    <w:rPr>
      <w:rFonts w:ascii="Times New Roman" w:hAnsi="Times New Roman" w:cs="Times New Roman (Textkörper CS)"/>
      <w:sz w:val="20"/>
      <w:szCs w:val="20"/>
    </w:rPr>
  </w:style>
  <w:style w:type="character" w:styleId="Funotenzeichen">
    <w:name w:val="footnote reference"/>
    <w:uiPriority w:val="99"/>
    <w:rsid w:val="00B5242D"/>
    <w:rPr>
      <w:vertAlign w:val="superscript"/>
    </w:rPr>
  </w:style>
  <w:style w:type="character" w:customStyle="1" w:styleId="berschrift1Zchn">
    <w:name w:val="Überschrift 1 Zchn"/>
    <w:basedOn w:val="Absatz-Standardschriftart"/>
    <w:link w:val="berschrift1"/>
    <w:uiPriority w:val="9"/>
    <w:rsid w:val="00D153BE"/>
    <w:rPr>
      <w:rFonts w:ascii="Palatino Linotype" w:eastAsiaTheme="majorEastAsia" w:hAnsi="Palatino Linotype" w:cstheme="majorBidi"/>
      <w:b/>
      <w:bCs/>
      <w:sz w:val="30"/>
      <w:szCs w:val="28"/>
    </w:rPr>
  </w:style>
  <w:style w:type="character" w:customStyle="1" w:styleId="berschrift2Zchn">
    <w:name w:val="Überschrift 2 Zchn"/>
    <w:basedOn w:val="Absatz-Standardschriftart"/>
    <w:link w:val="berschrift2"/>
    <w:uiPriority w:val="9"/>
    <w:rsid w:val="001C559A"/>
    <w:rPr>
      <w:rFonts w:ascii="Palatino Linotype" w:eastAsiaTheme="majorEastAsia" w:hAnsi="Palatino Linotype" w:cstheme="majorBidi"/>
      <w:b/>
      <w:bCs/>
      <w:sz w:val="27"/>
      <w:szCs w:val="26"/>
    </w:rPr>
  </w:style>
  <w:style w:type="character" w:customStyle="1" w:styleId="berschrift3Zchn">
    <w:name w:val="Überschrift 3 Zchn"/>
    <w:basedOn w:val="Absatz-Standardschriftart"/>
    <w:link w:val="berschrift3"/>
    <w:uiPriority w:val="9"/>
    <w:rsid w:val="008A671B"/>
    <w:rPr>
      <w:rFonts w:ascii="Palatino Linotype" w:eastAsiaTheme="majorEastAsia" w:hAnsi="Palatino Linotype" w:cstheme="majorBidi"/>
      <w:b/>
      <w:bCs/>
      <w:sz w:val="25"/>
    </w:rPr>
  </w:style>
  <w:style w:type="character" w:customStyle="1" w:styleId="berschrift4Zchn">
    <w:name w:val="Überschrift 4 Zchn"/>
    <w:basedOn w:val="Absatz-Standardschriftart"/>
    <w:link w:val="berschrift4"/>
    <w:uiPriority w:val="9"/>
    <w:rsid w:val="008A671B"/>
    <w:rPr>
      <w:rFonts w:ascii="Palatino Linotype" w:eastAsiaTheme="majorEastAsia" w:hAnsi="Palatino Linotype" w:cstheme="majorBidi"/>
      <w:b/>
      <w:bCs/>
      <w:iCs/>
      <w:sz w:val="23"/>
    </w:rPr>
  </w:style>
  <w:style w:type="paragraph" w:customStyle="1" w:styleId="Verzeichnistitel">
    <w:name w:val="Verzeichnistitel"/>
    <w:qFormat/>
    <w:rsid w:val="00D153BE"/>
    <w:pPr>
      <w:spacing w:before="1200" w:line="240" w:lineRule="auto"/>
      <w:outlineLvl w:val="5"/>
    </w:pPr>
    <w:rPr>
      <w:rFonts w:ascii="Palatino Linotype" w:hAnsi="Palatino Linotype"/>
      <w:b/>
      <w:sz w:val="27"/>
    </w:rPr>
  </w:style>
  <w:style w:type="paragraph" w:customStyle="1" w:styleId="Beitragstitel">
    <w:name w:val="Beitragstitel"/>
    <w:next w:val="Autor"/>
    <w:qFormat/>
    <w:rsid w:val="00D153BE"/>
    <w:pPr>
      <w:spacing w:after="1280" w:line="240" w:lineRule="auto"/>
      <w:jc w:val="center"/>
    </w:pPr>
    <w:rPr>
      <w:rFonts w:ascii="Palatino Linotype" w:hAnsi="Palatino Linotype"/>
      <w:b/>
      <w:sz w:val="34"/>
    </w:rPr>
  </w:style>
  <w:style w:type="paragraph" w:customStyle="1" w:styleId="Literatur">
    <w:name w:val="Literatur"/>
    <w:qFormat/>
    <w:rsid w:val="0062535D"/>
    <w:pPr>
      <w:tabs>
        <w:tab w:val="left" w:pos="397"/>
      </w:tabs>
      <w:spacing w:after="0" w:line="288" w:lineRule="auto"/>
      <w:ind w:left="425" w:right="284" w:hanging="425"/>
      <w:contextualSpacing/>
      <w:jc w:val="both"/>
    </w:pPr>
    <w:rPr>
      <w:rFonts w:ascii="Times New Roman" w:hAnsi="Times New Roman"/>
      <w:sz w:val="24"/>
    </w:rPr>
  </w:style>
  <w:style w:type="paragraph" w:styleId="Verzeichnis1">
    <w:name w:val="toc 1"/>
    <w:next w:val="Standard"/>
    <w:uiPriority w:val="39"/>
    <w:unhideWhenUsed/>
    <w:rsid w:val="00B355C4"/>
    <w:pPr>
      <w:tabs>
        <w:tab w:val="right" w:leader="dot" w:pos="8494"/>
      </w:tabs>
      <w:spacing w:before="120" w:after="0" w:line="340" w:lineRule="exact"/>
      <w:ind w:left="567" w:right="227" w:hanging="567"/>
    </w:pPr>
    <w:rPr>
      <w:rFonts w:ascii="Palatino Linotype" w:hAnsi="Palatino Linotype"/>
      <w:sz w:val="24"/>
    </w:rPr>
  </w:style>
  <w:style w:type="paragraph" w:styleId="Verzeichnis2">
    <w:name w:val="toc 2"/>
    <w:basedOn w:val="Verzeichnis1"/>
    <w:uiPriority w:val="39"/>
    <w:unhideWhenUsed/>
    <w:rsid w:val="00B355C4"/>
    <w:pPr>
      <w:spacing w:before="0"/>
      <w:ind w:left="1021" w:hanging="454"/>
    </w:pPr>
    <w:rPr>
      <w:noProof/>
    </w:rPr>
  </w:style>
  <w:style w:type="paragraph" w:styleId="Verzeichnis3">
    <w:name w:val="toc 3"/>
    <w:basedOn w:val="Verzeichnis1"/>
    <w:uiPriority w:val="39"/>
    <w:unhideWhenUsed/>
    <w:rsid w:val="00B355C4"/>
    <w:pPr>
      <w:spacing w:before="0"/>
      <w:ind w:left="1475" w:hanging="454"/>
    </w:pPr>
  </w:style>
  <w:style w:type="paragraph" w:styleId="Verzeichnis4">
    <w:name w:val="toc 4"/>
    <w:basedOn w:val="Verzeichnis1"/>
    <w:uiPriority w:val="39"/>
    <w:unhideWhenUsed/>
    <w:rsid w:val="00B355C4"/>
    <w:pPr>
      <w:spacing w:before="0"/>
      <w:ind w:left="1928" w:hanging="454"/>
    </w:pPr>
  </w:style>
  <w:style w:type="character" w:styleId="Hyperlink">
    <w:name w:val="Hyperlink"/>
    <w:basedOn w:val="Absatz-Standardschriftart"/>
    <w:uiPriority w:val="99"/>
    <w:locked/>
    <w:rsid w:val="000B648B"/>
    <w:rPr>
      <w:color w:val="0000FF" w:themeColor="hyperlink"/>
      <w:u w:val="single"/>
    </w:rPr>
  </w:style>
  <w:style w:type="paragraph" w:customStyle="1" w:styleId="Zitate">
    <w:name w:val="Zitate"/>
    <w:aliases w:val="Kleintexte"/>
    <w:qFormat/>
    <w:rsid w:val="00212D72"/>
    <w:pPr>
      <w:spacing w:before="160" w:after="160" w:line="300" w:lineRule="exact"/>
      <w:ind w:left="397" w:right="397"/>
      <w:jc w:val="both"/>
    </w:pPr>
    <w:rPr>
      <w:rFonts w:ascii="Palatino Linotype" w:hAnsi="Palatino Linotype"/>
      <w:sz w:val="23"/>
    </w:rPr>
  </w:style>
  <w:style w:type="paragraph" w:customStyle="1" w:styleId="Gliederung">
    <w:name w:val="Gliederung"/>
    <w:qFormat/>
    <w:rsid w:val="001A25CA"/>
    <w:pPr>
      <w:spacing w:before="60" w:after="0" w:line="340" w:lineRule="exact"/>
      <w:ind w:left="397" w:hanging="397"/>
      <w:jc w:val="both"/>
    </w:pPr>
    <w:rPr>
      <w:rFonts w:ascii="Times New Roman" w:hAnsi="Times New Roman"/>
      <w:sz w:val="24"/>
    </w:rPr>
  </w:style>
  <w:style w:type="paragraph" w:customStyle="1" w:styleId="Autor">
    <w:name w:val="Autor"/>
    <w:basedOn w:val="Standard"/>
    <w:next w:val="Verzeichnistitel"/>
    <w:qFormat/>
    <w:rsid w:val="00D153BE"/>
    <w:pPr>
      <w:spacing w:after="800"/>
      <w:jc w:val="center"/>
    </w:pPr>
  </w:style>
  <w:style w:type="paragraph" w:styleId="Kopfzeile">
    <w:name w:val="header"/>
    <w:basedOn w:val="Standard"/>
    <w:link w:val="KopfzeileZchn"/>
    <w:uiPriority w:val="99"/>
    <w:unhideWhenUsed/>
    <w:rsid w:val="008A671B"/>
    <w:pPr>
      <w:tabs>
        <w:tab w:val="clear" w:pos="397"/>
        <w:tab w:val="center" w:pos="4536"/>
        <w:tab w:val="right" w:pos="9072"/>
      </w:tabs>
      <w:spacing w:line="240" w:lineRule="auto"/>
      <w:jc w:val="center"/>
    </w:pPr>
    <w:rPr>
      <w:sz w:val="21"/>
    </w:rPr>
  </w:style>
  <w:style w:type="character" w:customStyle="1" w:styleId="KopfzeileZchn">
    <w:name w:val="Kopfzeile Zchn"/>
    <w:basedOn w:val="Absatz-Standardschriftart"/>
    <w:link w:val="Kopfzeile"/>
    <w:uiPriority w:val="99"/>
    <w:rsid w:val="008A671B"/>
    <w:rPr>
      <w:rFonts w:ascii="Palatino Linotype" w:hAnsi="Palatino Linotype"/>
      <w:sz w:val="21"/>
    </w:rPr>
  </w:style>
  <w:style w:type="paragraph" w:styleId="Fuzeile">
    <w:name w:val="footer"/>
    <w:basedOn w:val="Standard"/>
    <w:link w:val="FuzeileZchn"/>
    <w:uiPriority w:val="99"/>
    <w:unhideWhenUsed/>
    <w:rsid w:val="0065473C"/>
    <w:pPr>
      <w:tabs>
        <w:tab w:val="clear" w:pos="397"/>
      </w:tabs>
      <w:spacing w:line="240" w:lineRule="auto"/>
    </w:pPr>
  </w:style>
  <w:style w:type="character" w:customStyle="1" w:styleId="FuzeileZchn">
    <w:name w:val="Fußzeile Zchn"/>
    <w:basedOn w:val="Absatz-Standardschriftart"/>
    <w:link w:val="Fuzeile"/>
    <w:uiPriority w:val="99"/>
    <w:rsid w:val="0065473C"/>
    <w:rPr>
      <w:rFonts w:ascii="Palatino Linotype" w:hAnsi="Palatino Linotype"/>
      <w:sz w:val="25"/>
    </w:rPr>
  </w:style>
  <w:style w:type="character" w:customStyle="1" w:styleId="berschrift5Zchn">
    <w:name w:val="Überschrift 5 Zchn"/>
    <w:basedOn w:val="Absatz-Standardschriftart"/>
    <w:link w:val="berschrift5"/>
    <w:uiPriority w:val="9"/>
    <w:rsid w:val="008A671B"/>
    <w:rPr>
      <w:rFonts w:ascii="Palatino Linotype" w:eastAsiaTheme="majorEastAsia" w:hAnsi="Palatino Linotype" w:cstheme="majorBidi"/>
      <w:b/>
      <w:bCs/>
      <w:sz w:val="23"/>
      <w:szCs w:val="28"/>
    </w:rPr>
  </w:style>
  <w:style w:type="paragraph" w:styleId="Verzeichnis5">
    <w:name w:val="toc 5"/>
    <w:basedOn w:val="Verzeichnis1"/>
    <w:next w:val="berschrift5"/>
    <w:autoRedefine/>
    <w:uiPriority w:val="39"/>
    <w:rsid w:val="00F041FE"/>
    <w:pPr>
      <w:spacing w:before="0"/>
      <w:ind w:left="2382" w:hanging="454"/>
    </w:pPr>
  </w:style>
  <w:style w:type="paragraph" w:styleId="Verzeichnis6">
    <w:name w:val="toc 6"/>
    <w:basedOn w:val="Verzeichnis1"/>
    <w:autoRedefine/>
    <w:uiPriority w:val="39"/>
    <w:unhideWhenUsed/>
    <w:rsid w:val="00F041FE"/>
    <w:pPr>
      <w:ind w:left="0" w:firstLine="0"/>
    </w:pPr>
    <w:rPr>
      <w:noProof/>
    </w:rPr>
  </w:style>
  <w:style w:type="paragraph" w:styleId="Listenabsatz">
    <w:name w:val="List Paragraph"/>
    <w:basedOn w:val="Standard"/>
    <w:uiPriority w:val="34"/>
    <w:qFormat/>
    <w:rsid w:val="00F62042"/>
    <w:pPr>
      <w:ind w:left="720"/>
      <w:contextualSpacing/>
    </w:pPr>
  </w:style>
  <w:style w:type="table" w:styleId="Tabellenraster">
    <w:name w:val="Table Grid"/>
    <w:basedOn w:val="NormaleTabelle"/>
    <w:uiPriority w:val="59"/>
    <w:rsid w:val="00F62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
    <w:name w:val="Lit"/>
    <w:basedOn w:val="Standard"/>
    <w:rsid w:val="00677E1E"/>
    <w:pPr>
      <w:tabs>
        <w:tab w:val="clear" w:pos="397"/>
      </w:tabs>
      <w:spacing w:before="120" w:line="288" w:lineRule="auto"/>
      <w:ind w:left="709" w:hanging="709"/>
      <w:jc w:val="left"/>
    </w:pPr>
    <w:rPr>
      <w:rFonts w:eastAsia="Times New Roman" w:cs="Times New Roman"/>
      <w:szCs w:val="20"/>
      <w:lang w:val="de-DE" w:eastAsia="de-CH"/>
    </w:rPr>
  </w:style>
  <w:style w:type="character" w:styleId="Kommentarzeichen">
    <w:name w:val="annotation reference"/>
    <w:basedOn w:val="Absatz-Standardschriftart"/>
    <w:uiPriority w:val="99"/>
    <w:semiHidden/>
    <w:unhideWhenUsed/>
    <w:rsid w:val="00677E1E"/>
    <w:rPr>
      <w:sz w:val="16"/>
      <w:szCs w:val="16"/>
    </w:rPr>
  </w:style>
  <w:style w:type="paragraph" w:styleId="Kommentartext">
    <w:name w:val="annotation text"/>
    <w:basedOn w:val="Standard"/>
    <w:link w:val="KommentartextZchn"/>
    <w:uiPriority w:val="99"/>
    <w:unhideWhenUsed/>
    <w:rsid w:val="00677E1E"/>
    <w:pPr>
      <w:spacing w:line="240" w:lineRule="auto"/>
    </w:pPr>
    <w:rPr>
      <w:sz w:val="20"/>
      <w:szCs w:val="20"/>
    </w:rPr>
  </w:style>
  <w:style w:type="character" w:customStyle="1" w:styleId="KommentartextZchn">
    <w:name w:val="Kommentartext Zchn"/>
    <w:basedOn w:val="Absatz-Standardschriftart"/>
    <w:link w:val="Kommentartext"/>
    <w:uiPriority w:val="99"/>
    <w:rsid w:val="00677E1E"/>
    <w:rPr>
      <w:rFonts w:ascii="Palatino Linotype" w:hAnsi="Palatino Linotype"/>
      <w:sz w:val="20"/>
      <w:szCs w:val="20"/>
    </w:rPr>
  </w:style>
  <w:style w:type="paragraph" w:styleId="Kommentarthema">
    <w:name w:val="annotation subject"/>
    <w:basedOn w:val="Kommentartext"/>
    <w:next w:val="Kommentartext"/>
    <w:link w:val="KommentarthemaZchn"/>
    <w:uiPriority w:val="99"/>
    <w:semiHidden/>
    <w:unhideWhenUsed/>
    <w:rsid w:val="00677E1E"/>
    <w:rPr>
      <w:b/>
      <w:bCs/>
    </w:rPr>
  </w:style>
  <w:style w:type="character" w:customStyle="1" w:styleId="KommentarthemaZchn">
    <w:name w:val="Kommentarthema Zchn"/>
    <w:basedOn w:val="KommentartextZchn"/>
    <w:link w:val="Kommentarthema"/>
    <w:uiPriority w:val="99"/>
    <w:semiHidden/>
    <w:rsid w:val="00677E1E"/>
    <w:rPr>
      <w:rFonts w:ascii="Palatino Linotype" w:hAnsi="Palatino Linotype"/>
      <w:b/>
      <w:bCs/>
      <w:sz w:val="20"/>
      <w:szCs w:val="20"/>
    </w:rPr>
  </w:style>
  <w:style w:type="paragraph" w:styleId="Sprechblasentext">
    <w:name w:val="Balloon Text"/>
    <w:basedOn w:val="Standard"/>
    <w:link w:val="SprechblasentextZchn"/>
    <w:uiPriority w:val="99"/>
    <w:semiHidden/>
    <w:unhideWhenUsed/>
    <w:rsid w:val="00677E1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7E1E"/>
    <w:rPr>
      <w:rFonts w:ascii="Tahoma" w:hAnsi="Tahoma" w:cs="Tahoma"/>
      <w:sz w:val="16"/>
      <w:szCs w:val="16"/>
    </w:rPr>
  </w:style>
  <w:style w:type="paragraph" w:styleId="Inhaltsverzeichnisberschrift">
    <w:name w:val="TOC Heading"/>
    <w:basedOn w:val="berschrift1"/>
    <w:next w:val="Standard"/>
    <w:uiPriority w:val="39"/>
    <w:semiHidden/>
    <w:unhideWhenUsed/>
    <w:qFormat/>
    <w:rsid w:val="001738A0"/>
    <w:pPr>
      <w:spacing w:before="480" w:after="0" w:line="276" w:lineRule="auto"/>
      <w:ind w:left="0" w:firstLine="0"/>
      <w:outlineLvl w:val="9"/>
    </w:pPr>
    <w:rPr>
      <w:rFonts w:asciiTheme="majorHAnsi" w:hAnsiTheme="majorHAnsi"/>
      <w:color w:val="365F91" w:themeColor="accent1" w:themeShade="BF"/>
      <w:sz w:val="28"/>
      <w:lang w:eastAsia="de-CH"/>
    </w:rPr>
  </w:style>
  <w:style w:type="paragraph" w:customStyle="1" w:styleId="Eingerckt">
    <w:name w:val="Eingerückt"/>
    <w:basedOn w:val="Standard"/>
    <w:qFormat/>
    <w:rsid w:val="00A20494"/>
    <w:pPr>
      <w:ind w:left="567" w:right="284"/>
    </w:pPr>
  </w:style>
  <w:style w:type="paragraph" w:customStyle="1" w:styleId="02LiteraturAufzaehlung">
    <w:name w:val="02_Literatur_Aufzaehlung"/>
    <w:basedOn w:val="Standard"/>
    <w:uiPriority w:val="99"/>
    <w:rsid w:val="003B1911"/>
    <w:pPr>
      <w:tabs>
        <w:tab w:val="clear" w:pos="397"/>
        <w:tab w:val="left" w:pos="2268"/>
      </w:tabs>
      <w:autoSpaceDE w:val="0"/>
      <w:autoSpaceDN w:val="0"/>
      <w:adjustRightInd w:val="0"/>
      <w:spacing w:before="0" w:after="60" w:line="240" w:lineRule="atLeast"/>
      <w:ind w:left="284" w:hanging="284"/>
    </w:pPr>
    <w:rPr>
      <w:rFonts w:ascii="Palatino Linotype" w:eastAsia="Times New Roman" w:hAnsi="Palatino Linotype" w:cs="CharterITC-Regu"/>
      <w:color w:val="000000"/>
      <w:sz w:val="20"/>
      <w:szCs w:val="20"/>
      <w:lang w:eastAsia="de-DE"/>
    </w:rPr>
  </w:style>
  <w:style w:type="paragraph" w:customStyle="1" w:styleId="Aufzhlung">
    <w:name w:val="Aufzählung"/>
    <w:basedOn w:val="Standard"/>
    <w:autoRedefine/>
    <w:qFormat/>
    <w:rsid w:val="00C616D7"/>
    <w:pPr>
      <w:keepLines/>
      <w:tabs>
        <w:tab w:val="clear" w:pos="397"/>
        <w:tab w:val="left" w:pos="454"/>
        <w:tab w:val="right" w:leader="dot" w:pos="6804"/>
      </w:tabs>
      <w:spacing w:before="120" w:line="240" w:lineRule="auto"/>
      <w:ind w:left="454" w:hanging="454"/>
    </w:pPr>
    <w:rPr>
      <w:rFonts w:eastAsia="Times New Roman" w:cs="Times New Roman"/>
      <w:szCs w:val="24"/>
      <w:lang w:eastAsia="fr-CH"/>
    </w:rPr>
  </w:style>
  <w:style w:type="paragraph" w:customStyle="1" w:styleId="Aufzhlung2">
    <w:name w:val="Aufzählung2"/>
    <w:basedOn w:val="Standard"/>
    <w:rsid w:val="001D43EC"/>
    <w:pPr>
      <w:tabs>
        <w:tab w:val="clear" w:pos="397"/>
        <w:tab w:val="left" w:pos="284"/>
        <w:tab w:val="right" w:leader="dot" w:pos="6804"/>
      </w:tabs>
      <w:spacing w:before="60" w:line="240" w:lineRule="auto"/>
      <w:ind w:left="794" w:hanging="397"/>
    </w:pPr>
    <w:rPr>
      <w:rFonts w:ascii="Palatino Linotype" w:eastAsia="Times New Roman" w:hAnsi="Palatino Linotype" w:cs="Times New Roman"/>
      <w:szCs w:val="24"/>
      <w:lang w:eastAsia="fr-CH"/>
    </w:rPr>
  </w:style>
  <w:style w:type="character" w:customStyle="1" w:styleId="StandardEChar">
    <w:name w:val="StandardE Char"/>
    <w:link w:val="StandardE"/>
    <w:rsid w:val="001D43EC"/>
    <w:rPr>
      <w:rFonts w:ascii="Times New Roman" w:hAnsi="Times New Roman" w:cs="Times New Roman (Textkörper CS)"/>
      <w:sz w:val="24"/>
    </w:rPr>
  </w:style>
  <w:style w:type="paragraph" w:styleId="berarbeitung">
    <w:name w:val="Revision"/>
    <w:hidden/>
    <w:uiPriority w:val="99"/>
    <w:semiHidden/>
    <w:rsid w:val="00A60563"/>
    <w:pPr>
      <w:spacing w:after="0" w:line="240" w:lineRule="auto"/>
    </w:pPr>
    <w:rPr>
      <w:rFonts w:ascii="Times New Roman" w:hAnsi="Times New Roman" w:cs="Times New Roman (Textkörper CS)"/>
      <w:sz w:val="24"/>
    </w:rPr>
  </w:style>
  <w:style w:type="character" w:customStyle="1" w:styleId="Kursiv">
    <w:name w:val="_Kursiv"/>
    <w:rsid w:val="00D53E13"/>
    <w:rPr>
      <w:i/>
      <w:iCs w:val="0"/>
    </w:rPr>
  </w:style>
  <w:style w:type="character" w:styleId="NichtaufgelsteErwhnung">
    <w:name w:val="Unresolved Mention"/>
    <w:basedOn w:val="Absatz-Standardschriftart"/>
    <w:uiPriority w:val="99"/>
    <w:semiHidden/>
    <w:unhideWhenUsed/>
    <w:rsid w:val="00591EA6"/>
    <w:rPr>
      <w:color w:val="605E5C"/>
      <w:shd w:val="clear" w:color="auto" w:fill="E1DFDD"/>
    </w:rPr>
  </w:style>
  <w:style w:type="paragraph" w:styleId="Aufzhlungszeichen">
    <w:name w:val="List Bullet"/>
    <w:basedOn w:val="Standard"/>
    <w:uiPriority w:val="99"/>
    <w:unhideWhenUsed/>
    <w:rsid w:val="00301D84"/>
    <w:pPr>
      <w:numPr>
        <w:numId w:val="10"/>
      </w:numPr>
      <w:contextualSpacing/>
    </w:pPr>
  </w:style>
  <w:style w:type="paragraph" w:customStyle="1" w:styleId="LiteraturAufzaehlung">
    <w:name w:val="Literatur_Aufzaehlung"/>
    <w:basedOn w:val="Literatur"/>
    <w:qFormat/>
    <w:rsid w:val="005020D4"/>
    <w:pPr>
      <w:numPr>
        <w:numId w:val="11"/>
      </w:numPr>
    </w:pPr>
    <w:rPr>
      <w:rFonts w:eastAsia="Times New Roman" w:cs="Times New Roman"/>
      <w:szCs w:val="24"/>
      <w:lang w:eastAsia="de-CH"/>
    </w:rPr>
  </w:style>
  <w:style w:type="paragraph" w:customStyle="1" w:styleId="Abkuerzung">
    <w:name w:val="Abkuerzung"/>
    <w:qFormat/>
    <w:rsid w:val="00A61011"/>
    <w:pPr>
      <w:tabs>
        <w:tab w:val="left" w:pos="2268"/>
      </w:tabs>
      <w:autoSpaceDE w:val="0"/>
      <w:autoSpaceDN w:val="0"/>
      <w:adjustRightInd w:val="0"/>
      <w:spacing w:after="0" w:line="240" w:lineRule="auto"/>
      <w:textAlignment w:val="center"/>
    </w:pPr>
    <w:rPr>
      <w:rFonts w:ascii="Times New Roman" w:eastAsia="Times New Roman" w:hAnsi="Times New Roman" w:cs="CharterITC-Regu"/>
      <w:color w:val="000000"/>
      <w:sz w:val="20"/>
      <w:szCs w:val="20"/>
      <w:lang w:eastAsia="de-DE"/>
    </w:rPr>
  </w:style>
  <w:style w:type="paragraph" w:styleId="StandardWeb">
    <w:name w:val="Normal (Web)"/>
    <w:basedOn w:val="Standard"/>
    <w:uiPriority w:val="99"/>
    <w:unhideWhenUsed/>
    <w:rsid w:val="008B4166"/>
    <w:pPr>
      <w:tabs>
        <w:tab w:val="clear" w:pos="397"/>
      </w:tabs>
      <w:spacing w:before="100" w:beforeAutospacing="1" w:after="100" w:afterAutospacing="1" w:line="240" w:lineRule="auto"/>
      <w:jc w:val="left"/>
    </w:pPr>
    <w:rPr>
      <w:rFonts w:eastAsia="Times New Roman" w:cs="Times New Roman"/>
      <w:szCs w:val="24"/>
      <w:lang w:eastAsia="de-DE"/>
    </w:rPr>
  </w:style>
  <w:style w:type="character" w:styleId="BesuchterLink">
    <w:name w:val="FollowedHyperlink"/>
    <w:basedOn w:val="Absatz-Standardschriftart"/>
    <w:uiPriority w:val="99"/>
    <w:semiHidden/>
    <w:unhideWhenUsed/>
    <w:rsid w:val="00AF70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830">
      <w:bodyDiv w:val="1"/>
      <w:marLeft w:val="0"/>
      <w:marRight w:val="0"/>
      <w:marTop w:val="0"/>
      <w:marBottom w:val="0"/>
      <w:divBdr>
        <w:top w:val="none" w:sz="0" w:space="0" w:color="auto"/>
        <w:left w:val="none" w:sz="0" w:space="0" w:color="auto"/>
        <w:bottom w:val="none" w:sz="0" w:space="0" w:color="auto"/>
        <w:right w:val="none" w:sz="0" w:space="0" w:color="auto"/>
      </w:divBdr>
    </w:div>
    <w:div w:id="75522730">
      <w:bodyDiv w:val="1"/>
      <w:marLeft w:val="0"/>
      <w:marRight w:val="0"/>
      <w:marTop w:val="0"/>
      <w:marBottom w:val="0"/>
      <w:divBdr>
        <w:top w:val="none" w:sz="0" w:space="0" w:color="auto"/>
        <w:left w:val="none" w:sz="0" w:space="0" w:color="auto"/>
        <w:bottom w:val="none" w:sz="0" w:space="0" w:color="auto"/>
        <w:right w:val="none" w:sz="0" w:space="0" w:color="auto"/>
      </w:divBdr>
      <w:divsChild>
        <w:div w:id="74058509">
          <w:marLeft w:val="0"/>
          <w:marRight w:val="0"/>
          <w:marTop w:val="0"/>
          <w:marBottom w:val="0"/>
          <w:divBdr>
            <w:top w:val="none" w:sz="0" w:space="0" w:color="auto"/>
            <w:left w:val="none" w:sz="0" w:space="0" w:color="auto"/>
            <w:bottom w:val="none" w:sz="0" w:space="0" w:color="auto"/>
            <w:right w:val="none" w:sz="0" w:space="0" w:color="auto"/>
          </w:divBdr>
        </w:div>
        <w:div w:id="17120611">
          <w:marLeft w:val="0"/>
          <w:marRight w:val="0"/>
          <w:marTop w:val="0"/>
          <w:marBottom w:val="0"/>
          <w:divBdr>
            <w:top w:val="none" w:sz="0" w:space="0" w:color="auto"/>
            <w:left w:val="none" w:sz="0" w:space="0" w:color="auto"/>
            <w:bottom w:val="none" w:sz="0" w:space="0" w:color="auto"/>
            <w:right w:val="none" w:sz="0" w:space="0" w:color="auto"/>
          </w:divBdr>
        </w:div>
        <w:div w:id="714039042">
          <w:marLeft w:val="0"/>
          <w:marRight w:val="0"/>
          <w:marTop w:val="0"/>
          <w:marBottom w:val="0"/>
          <w:divBdr>
            <w:top w:val="none" w:sz="0" w:space="0" w:color="auto"/>
            <w:left w:val="none" w:sz="0" w:space="0" w:color="auto"/>
            <w:bottom w:val="none" w:sz="0" w:space="0" w:color="auto"/>
            <w:right w:val="none" w:sz="0" w:space="0" w:color="auto"/>
          </w:divBdr>
        </w:div>
        <w:div w:id="1688091839">
          <w:marLeft w:val="0"/>
          <w:marRight w:val="0"/>
          <w:marTop w:val="0"/>
          <w:marBottom w:val="0"/>
          <w:divBdr>
            <w:top w:val="none" w:sz="0" w:space="0" w:color="auto"/>
            <w:left w:val="none" w:sz="0" w:space="0" w:color="auto"/>
            <w:bottom w:val="none" w:sz="0" w:space="0" w:color="auto"/>
            <w:right w:val="none" w:sz="0" w:space="0" w:color="auto"/>
          </w:divBdr>
        </w:div>
        <w:div w:id="223420099">
          <w:marLeft w:val="0"/>
          <w:marRight w:val="0"/>
          <w:marTop w:val="0"/>
          <w:marBottom w:val="0"/>
          <w:divBdr>
            <w:top w:val="none" w:sz="0" w:space="0" w:color="auto"/>
            <w:left w:val="none" w:sz="0" w:space="0" w:color="auto"/>
            <w:bottom w:val="none" w:sz="0" w:space="0" w:color="auto"/>
            <w:right w:val="none" w:sz="0" w:space="0" w:color="auto"/>
          </w:divBdr>
        </w:div>
        <w:div w:id="483857817">
          <w:marLeft w:val="0"/>
          <w:marRight w:val="0"/>
          <w:marTop w:val="0"/>
          <w:marBottom w:val="0"/>
          <w:divBdr>
            <w:top w:val="none" w:sz="0" w:space="0" w:color="auto"/>
            <w:left w:val="none" w:sz="0" w:space="0" w:color="auto"/>
            <w:bottom w:val="none" w:sz="0" w:space="0" w:color="auto"/>
            <w:right w:val="none" w:sz="0" w:space="0" w:color="auto"/>
          </w:divBdr>
        </w:div>
        <w:div w:id="348023220">
          <w:marLeft w:val="0"/>
          <w:marRight w:val="0"/>
          <w:marTop w:val="0"/>
          <w:marBottom w:val="0"/>
          <w:divBdr>
            <w:top w:val="none" w:sz="0" w:space="0" w:color="auto"/>
            <w:left w:val="none" w:sz="0" w:space="0" w:color="auto"/>
            <w:bottom w:val="none" w:sz="0" w:space="0" w:color="auto"/>
            <w:right w:val="none" w:sz="0" w:space="0" w:color="auto"/>
          </w:divBdr>
        </w:div>
        <w:div w:id="1489861841">
          <w:marLeft w:val="0"/>
          <w:marRight w:val="0"/>
          <w:marTop w:val="0"/>
          <w:marBottom w:val="0"/>
          <w:divBdr>
            <w:top w:val="none" w:sz="0" w:space="0" w:color="auto"/>
            <w:left w:val="none" w:sz="0" w:space="0" w:color="auto"/>
            <w:bottom w:val="none" w:sz="0" w:space="0" w:color="auto"/>
            <w:right w:val="none" w:sz="0" w:space="0" w:color="auto"/>
          </w:divBdr>
        </w:div>
        <w:div w:id="30032506">
          <w:marLeft w:val="0"/>
          <w:marRight w:val="0"/>
          <w:marTop w:val="0"/>
          <w:marBottom w:val="0"/>
          <w:divBdr>
            <w:top w:val="none" w:sz="0" w:space="0" w:color="auto"/>
            <w:left w:val="none" w:sz="0" w:space="0" w:color="auto"/>
            <w:bottom w:val="none" w:sz="0" w:space="0" w:color="auto"/>
            <w:right w:val="none" w:sz="0" w:space="0" w:color="auto"/>
          </w:divBdr>
        </w:div>
        <w:div w:id="1833837348">
          <w:marLeft w:val="0"/>
          <w:marRight w:val="0"/>
          <w:marTop w:val="0"/>
          <w:marBottom w:val="0"/>
          <w:divBdr>
            <w:top w:val="none" w:sz="0" w:space="0" w:color="auto"/>
            <w:left w:val="none" w:sz="0" w:space="0" w:color="auto"/>
            <w:bottom w:val="none" w:sz="0" w:space="0" w:color="auto"/>
            <w:right w:val="none" w:sz="0" w:space="0" w:color="auto"/>
          </w:divBdr>
        </w:div>
        <w:div w:id="1033992912">
          <w:marLeft w:val="0"/>
          <w:marRight w:val="0"/>
          <w:marTop w:val="0"/>
          <w:marBottom w:val="0"/>
          <w:divBdr>
            <w:top w:val="none" w:sz="0" w:space="0" w:color="auto"/>
            <w:left w:val="none" w:sz="0" w:space="0" w:color="auto"/>
            <w:bottom w:val="none" w:sz="0" w:space="0" w:color="auto"/>
            <w:right w:val="none" w:sz="0" w:space="0" w:color="auto"/>
          </w:divBdr>
        </w:div>
        <w:div w:id="448015747">
          <w:marLeft w:val="0"/>
          <w:marRight w:val="0"/>
          <w:marTop w:val="0"/>
          <w:marBottom w:val="0"/>
          <w:divBdr>
            <w:top w:val="none" w:sz="0" w:space="0" w:color="auto"/>
            <w:left w:val="none" w:sz="0" w:space="0" w:color="auto"/>
            <w:bottom w:val="none" w:sz="0" w:space="0" w:color="auto"/>
            <w:right w:val="none" w:sz="0" w:space="0" w:color="auto"/>
          </w:divBdr>
        </w:div>
        <w:div w:id="168641063">
          <w:marLeft w:val="0"/>
          <w:marRight w:val="0"/>
          <w:marTop w:val="0"/>
          <w:marBottom w:val="0"/>
          <w:divBdr>
            <w:top w:val="none" w:sz="0" w:space="0" w:color="auto"/>
            <w:left w:val="none" w:sz="0" w:space="0" w:color="auto"/>
            <w:bottom w:val="none" w:sz="0" w:space="0" w:color="auto"/>
            <w:right w:val="none" w:sz="0" w:space="0" w:color="auto"/>
          </w:divBdr>
        </w:div>
        <w:div w:id="1954045999">
          <w:marLeft w:val="0"/>
          <w:marRight w:val="0"/>
          <w:marTop w:val="0"/>
          <w:marBottom w:val="0"/>
          <w:divBdr>
            <w:top w:val="none" w:sz="0" w:space="0" w:color="auto"/>
            <w:left w:val="none" w:sz="0" w:space="0" w:color="auto"/>
            <w:bottom w:val="none" w:sz="0" w:space="0" w:color="auto"/>
            <w:right w:val="none" w:sz="0" w:space="0" w:color="auto"/>
          </w:divBdr>
        </w:div>
        <w:div w:id="489910098">
          <w:marLeft w:val="0"/>
          <w:marRight w:val="0"/>
          <w:marTop w:val="0"/>
          <w:marBottom w:val="0"/>
          <w:divBdr>
            <w:top w:val="none" w:sz="0" w:space="0" w:color="auto"/>
            <w:left w:val="none" w:sz="0" w:space="0" w:color="auto"/>
            <w:bottom w:val="none" w:sz="0" w:space="0" w:color="auto"/>
            <w:right w:val="none" w:sz="0" w:space="0" w:color="auto"/>
          </w:divBdr>
        </w:div>
        <w:div w:id="1043291458">
          <w:marLeft w:val="0"/>
          <w:marRight w:val="0"/>
          <w:marTop w:val="0"/>
          <w:marBottom w:val="0"/>
          <w:divBdr>
            <w:top w:val="none" w:sz="0" w:space="0" w:color="auto"/>
            <w:left w:val="none" w:sz="0" w:space="0" w:color="auto"/>
            <w:bottom w:val="none" w:sz="0" w:space="0" w:color="auto"/>
            <w:right w:val="none" w:sz="0" w:space="0" w:color="auto"/>
          </w:divBdr>
        </w:div>
        <w:div w:id="1135179012">
          <w:marLeft w:val="0"/>
          <w:marRight w:val="0"/>
          <w:marTop w:val="0"/>
          <w:marBottom w:val="0"/>
          <w:divBdr>
            <w:top w:val="none" w:sz="0" w:space="0" w:color="auto"/>
            <w:left w:val="none" w:sz="0" w:space="0" w:color="auto"/>
            <w:bottom w:val="none" w:sz="0" w:space="0" w:color="auto"/>
            <w:right w:val="none" w:sz="0" w:space="0" w:color="auto"/>
          </w:divBdr>
        </w:div>
        <w:div w:id="1386948331">
          <w:marLeft w:val="0"/>
          <w:marRight w:val="0"/>
          <w:marTop w:val="0"/>
          <w:marBottom w:val="0"/>
          <w:divBdr>
            <w:top w:val="none" w:sz="0" w:space="0" w:color="auto"/>
            <w:left w:val="none" w:sz="0" w:space="0" w:color="auto"/>
            <w:bottom w:val="none" w:sz="0" w:space="0" w:color="auto"/>
            <w:right w:val="none" w:sz="0" w:space="0" w:color="auto"/>
          </w:divBdr>
        </w:div>
        <w:div w:id="665284551">
          <w:marLeft w:val="0"/>
          <w:marRight w:val="0"/>
          <w:marTop w:val="0"/>
          <w:marBottom w:val="0"/>
          <w:divBdr>
            <w:top w:val="none" w:sz="0" w:space="0" w:color="auto"/>
            <w:left w:val="none" w:sz="0" w:space="0" w:color="auto"/>
            <w:bottom w:val="none" w:sz="0" w:space="0" w:color="auto"/>
            <w:right w:val="none" w:sz="0" w:space="0" w:color="auto"/>
          </w:divBdr>
        </w:div>
        <w:div w:id="1300308230">
          <w:marLeft w:val="0"/>
          <w:marRight w:val="0"/>
          <w:marTop w:val="0"/>
          <w:marBottom w:val="0"/>
          <w:divBdr>
            <w:top w:val="none" w:sz="0" w:space="0" w:color="auto"/>
            <w:left w:val="none" w:sz="0" w:space="0" w:color="auto"/>
            <w:bottom w:val="none" w:sz="0" w:space="0" w:color="auto"/>
            <w:right w:val="none" w:sz="0" w:space="0" w:color="auto"/>
          </w:divBdr>
        </w:div>
        <w:div w:id="25178335">
          <w:marLeft w:val="0"/>
          <w:marRight w:val="0"/>
          <w:marTop w:val="0"/>
          <w:marBottom w:val="0"/>
          <w:divBdr>
            <w:top w:val="none" w:sz="0" w:space="0" w:color="auto"/>
            <w:left w:val="none" w:sz="0" w:space="0" w:color="auto"/>
            <w:bottom w:val="none" w:sz="0" w:space="0" w:color="auto"/>
            <w:right w:val="none" w:sz="0" w:space="0" w:color="auto"/>
          </w:divBdr>
        </w:div>
        <w:div w:id="2055033355">
          <w:marLeft w:val="0"/>
          <w:marRight w:val="0"/>
          <w:marTop w:val="0"/>
          <w:marBottom w:val="0"/>
          <w:divBdr>
            <w:top w:val="none" w:sz="0" w:space="0" w:color="auto"/>
            <w:left w:val="none" w:sz="0" w:space="0" w:color="auto"/>
            <w:bottom w:val="none" w:sz="0" w:space="0" w:color="auto"/>
            <w:right w:val="none" w:sz="0" w:space="0" w:color="auto"/>
          </w:divBdr>
        </w:div>
        <w:div w:id="577373137">
          <w:marLeft w:val="0"/>
          <w:marRight w:val="0"/>
          <w:marTop w:val="0"/>
          <w:marBottom w:val="0"/>
          <w:divBdr>
            <w:top w:val="none" w:sz="0" w:space="0" w:color="auto"/>
            <w:left w:val="none" w:sz="0" w:space="0" w:color="auto"/>
            <w:bottom w:val="none" w:sz="0" w:space="0" w:color="auto"/>
            <w:right w:val="none" w:sz="0" w:space="0" w:color="auto"/>
          </w:divBdr>
        </w:div>
        <w:div w:id="1871604367">
          <w:marLeft w:val="0"/>
          <w:marRight w:val="0"/>
          <w:marTop w:val="0"/>
          <w:marBottom w:val="0"/>
          <w:divBdr>
            <w:top w:val="none" w:sz="0" w:space="0" w:color="auto"/>
            <w:left w:val="none" w:sz="0" w:space="0" w:color="auto"/>
            <w:bottom w:val="none" w:sz="0" w:space="0" w:color="auto"/>
            <w:right w:val="none" w:sz="0" w:space="0" w:color="auto"/>
          </w:divBdr>
        </w:div>
        <w:div w:id="336003222">
          <w:marLeft w:val="0"/>
          <w:marRight w:val="0"/>
          <w:marTop w:val="0"/>
          <w:marBottom w:val="0"/>
          <w:divBdr>
            <w:top w:val="none" w:sz="0" w:space="0" w:color="auto"/>
            <w:left w:val="none" w:sz="0" w:space="0" w:color="auto"/>
            <w:bottom w:val="none" w:sz="0" w:space="0" w:color="auto"/>
            <w:right w:val="none" w:sz="0" w:space="0" w:color="auto"/>
          </w:divBdr>
        </w:div>
        <w:div w:id="1957520434">
          <w:marLeft w:val="0"/>
          <w:marRight w:val="0"/>
          <w:marTop w:val="0"/>
          <w:marBottom w:val="0"/>
          <w:divBdr>
            <w:top w:val="none" w:sz="0" w:space="0" w:color="auto"/>
            <w:left w:val="none" w:sz="0" w:space="0" w:color="auto"/>
            <w:bottom w:val="none" w:sz="0" w:space="0" w:color="auto"/>
            <w:right w:val="none" w:sz="0" w:space="0" w:color="auto"/>
          </w:divBdr>
        </w:div>
        <w:div w:id="73935953">
          <w:marLeft w:val="0"/>
          <w:marRight w:val="0"/>
          <w:marTop w:val="0"/>
          <w:marBottom w:val="0"/>
          <w:divBdr>
            <w:top w:val="none" w:sz="0" w:space="0" w:color="auto"/>
            <w:left w:val="none" w:sz="0" w:space="0" w:color="auto"/>
            <w:bottom w:val="none" w:sz="0" w:space="0" w:color="auto"/>
            <w:right w:val="none" w:sz="0" w:space="0" w:color="auto"/>
          </w:divBdr>
        </w:div>
        <w:div w:id="686324564">
          <w:marLeft w:val="0"/>
          <w:marRight w:val="0"/>
          <w:marTop w:val="0"/>
          <w:marBottom w:val="0"/>
          <w:divBdr>
            <w:top w:val="none" w:sz="0" w:space="0" w:color="auto"/>
            <w:left w:val="none" w:sz="0" w:space="0" w:color="auto"/>
            <w:bottom w:val="none" w:sz="0" w:space="0" w:color="auto"/>
            <w:right w:val="none" w:sz="0" w:space="0" w:color="auto"/>
          </w:divBdr>
        </w:div>
        <w:div w:id="1935475362">
          <w:marLeft w:val="0"/>
          <w:marRight w:val="0"/>
          <w:marTop w:val="0"/>
          <w:marBottom w:val="0"/>
          <w:divBdr>
            <w:top w:val="none" w:sz="0" w:space="0" w:color="auto"/>
            <w:left w:val="none" w:sz="0" w:space="0" w:color="auto"/>
            <w:bottom w:val="none" w:sz="0" w:space="0" w:color="auto"/>
            <w:right w:val="none" w:sz="0" w:space="0" w:color="auto"/>
          </w:divBdr>
        </w:div>
        <w:div w:id="421923888">
          <w:marLeft w:val="0"/>
          <w:marRight w:val="0"/>
          <w:marTop w:val="0"/>
          <w:marBottom w:val="0"/>
          <w:divBdr>
            <w:top w:val="none" w:sz="0" w:space="0" w:color="auto"/>
            <w:left w:val="none" w:sz="0" w:space="0" w:color="auto"/>
            <w:bottom w:val="none" w:sz="0" w:space="0" w:color="auto"/>
            <w:right w:val="none" w:sz="0" w:space="0" w:color="auto"/>
          </w:divBdr>
        </w:div>
        <w:div w:id="380056480">
          <w:marLeft w:val="0"/>
          <w:marRight w:val="0"/>
          <w:marTop w:val="0"/>
          <w:marBottom w:val="0"/>
          <w:divBdr>
            <w:top w:val="none" w:sz="0" w:space="0" w:color="auto"/>
            <w:left w:val="none" w:sz="0" w:space="0" w:color="auto"/>
            <w:bottom w:val="none" w:sz="0" w:space="0" w:color="auto"/>
            <w:right w:val="none" w:sz="0" w:space="0" w:color="auto"/>
          </w:divBdr>
        </w:div>
        <w:div w:id="464274000">
          <w:marLeft w:val="0"/>
          <w:marRight w:val="0"/>
          <w:marTop w:val="0"/>
          <w:marBottom w:val="0"/>
          <w:divBdr>
            <w:top w:val="none" w:sz="0" w:space="0" w:color="auto"/>
            <w:left w:val="none" w:sz="0" w:space="0" w:color="auto"/>
            <w:bottom w:val="none" w:sz="0" w:space="0" w:color="auto"/>
            <w:right w:val="none" w:sz="0" w:space="0" w:color="auto"/>
          </w:divBdr>
        </w:div>
        <w:div w:id="40982965">
          <w:marLeft w:val="0"/>
          <w:marRight w:val="0"/>
          <w:marTop w:val="0"/>
          <w:marBottom w:val="0"/>
          <w:divBdr>
            <w:top w:val="none" w:sz="0" w:space="0" w:color="auto"/>
            <w:left w:val="none" w:sz="0" w:space="0" w:color="auto"/>
            <w:bottom w:val="none" w:sz="0" w:space="0" w:color="auto"/>
            <w:right w:val="none" w:sz="0" w:space="0" w:color="auto"/>
          </w:divBdr>
        </w:div>
        <w:div w:id="399641590">
          <w:marLeft w:val="0"/>
          <w:marRight w:val="0"/>
          <w:marTop w:val="0"/>
          <w:marBottom w:val="0"/>
          <w:divBdr>
            <w:top w:val="none" w:sz="0" w:space="0" w:color="auto"/>
            <w:left w:val="none" w:sz="0" w:space="0" w:color="auto"/>
            <w:bottom w:val="none" w:sz="0" w:space="0" w:color="auto"/>
            <w:right w:val="none" w:sz="0" w:space="0" w:color="auto"/>
          </w:divBdr>
        </w:div>
        <w:div w:id="1522547526">
          <w:marLeft w:val="0"/>
          <w:marRight w:val="0"/>
          <w:marTop w:val="0"/>
          <w:marBottom w:val="0"/>
          <w:divBdr>
            <w:top w:val="none" w:sz="0" w:space="0" w:color="auto"/>
            <w:left w:val="none" w:sz="0" w:space="0" w:color="auto"/>
            <w:bottom w:val="none" w:sz="0" w:space="0" w:color="auto"/>
            <w:right w:val="none" w:sz="0" w:space="0" w:color="auto"/>
          </w:divBdr>
        </w:div>
        <w:div w:id="364604061">
          <w:marLeft w:val="0"/>
          <w:marRight w:val="0"/>
          <w:marTop w:val="0"/>
          <w:marBottom w:val="0"/>
          <w:divBdr>
            <w:top w:val="none" w:sz="0" w:space="0" w:color="auto"/>
            <w:left w:val="none" w:sz="0" w:space="0" w:color="auto"/>
            <w:bottom w:val="none" w:sz="0" w:space="0" w:color="auto"/>
            <w:right w:val="none" w:sz="0" w:space="0" w:color="auto"/>
          </w:divBdr>
        </w:div>
        <w:div w:id="994072010">
          <w:marLeft w:val="0"/>
          <w:marRight w:val="0"/>
          <w:marTop w:val="0"/>
          <w:marBottom w:val="0"/>
          <w:divBdr>
            <w:top w:val="none" w:sz="0" w:space="0" w:color="auto"/>
            <w:left w:val="none" w:sz="0" w:space="0" w:color="auto"/>
            <w:bottom w:val="none" w:sz="0" w:space="0" w:color="auto"/>
            <w:right w:val="none" w:sz="0" w:space="0" w:color="auto"/>
          </w:divBdr>
        </w:div>
        <w:div w:id="1161579298">
          <w:marLeft w:val="0"/>
          <w:marRight w:val="0"/>
          <w:marTop w:val="0"/>
          <w:marBottom w:val="0"/>
          <w:divBdr>
            <w:top w:val="none" w:sz="0" w:space="0" w:color="auto"/>
            <w:left w:val="none" w:sz="0" w:space="0" w:color="auto"/>
            <w:bottom w:val="none" w:sz="0" w:space="0" w:color="auto"/>
            <w:right w:val="none" w:sz="0" w:space="0" w:color="auto"/>
          </w:divBdr>
        </w:div>
      </w:divsChild>
    </w:div>
    <w:div w:id="106659668">
      <w:bodyDiv w:val="1"/>
      <w:marLeft w:val="0"/>
      <w:marRight w:val="0"/>
      <w:marTop w:val="0"/>
      <w:marBottom w:val="0"/>
      <w:divBdr>
        <w:top w:val="none" w:sz="0" w:space="0" w:color="auto"/>
        <w:left w:val="none" w:sz="0" w:space="0" w:color="auto"/>
        <w:bottom w:val="none" w:sz="0" w:space="0" w:color="auto"/>
        <w:right w:val="none" w:sz="0" w:space="0" w:color="auto"/>
      </w:divBdr>
    </w:div>
    <w:div w:id="119612460">
      <w:bodyDiv w:val="1"/>
      <w:marLeft w:val="0"/>
      <w:marRight w:val="0"/>
      <w:marTop w:val="0"/>
      <w:marBottom w:val="0"/>
      <w:divBdr>
        <w:top w:val="none" w:sz="0" w:space="0" w:color="auto"/>
        <w:left w:val="none" w:sz="0" w:space="0" w:color="auto"/>
        <w:bottom w:val="none" w:sz="0" w:space="0" w:color="auto"/>
        <w:right w:val="none" w:sz="0" w:space="0" w:color="auto"/>
      </w:divBdr>
    </w:div>
    <w:div w:id="182941484">
      <w:bodyDiv w:val="1"/>
      <w:marLeft w:val="0"/>
      <w:marRight w:val="0"/>
      <w:marTop w:val="0"/>
      <w:marBottom w:val="0"/>
      <w:divBdr>
        <w:top w:val="none" w:sz="0" w:space="0" w:color="auto"/>
        <w:left w:val="none" w:sz="0" w:space="0" w:color="auto"/>
        <w:bottom w:val="none" w:sz="0" w:space="0" w:color="auto"/>
        <w:right w:val="none" w:sz="0" w:space="0" w:color="auto"/>
      </w:divBdr>
      <w:divsChild>
        <w:div w:id="969821663">
          <w:marLeft w:val="0"/>
          <w:marRight w:val="0"/>
          <w:marTop w:val="0"/>
          <w:marBottom w:val="0"/>
          <w:divBdr>
            <w:top w:val="none" w:sz="0" w:space="0" w:color="auto"/>
            <w:left w:val="none" w:sz="0" w:space="0" w:color="auto"/>
            <w:bottom w:val="none" w:sz="0" w:space="0" w:color="auto"/>
            <w:right w:val="none" w:sz="0" w:space="0" w:color="auto"/>
          </w:divBdr>
          <w:divsChild>
            <w:div w:id="59720226">
              <w:marLeft w:val="0"/>
              <w:marRight w:val="0"/>
              <w:marTop w:val="0"/>
              <w:marBottom w:val="0"/>
              <w:divBdr>
                <w:top w:val="none" w:sz="0" w:space="0" w:color="auto"/>
                <w:left w:val="none" w:sz="0" w:space="0" w:color="auto"/>
                <w:bottom w:val="none" w:sz="0" w:space="0" w:color="auto"/>
                <w:right w:val="none" w:sz="0" w:space="0" w:color="auto"/>
              </w:divBdr>
              <w:divsChild>
                <w:div w:id="2972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001218">
      <w:bodyDiv w:val="1"/>
      <w:marLeft w:val="0"/>
      <w:marRight w:val="0"/>
      <w:marTop w:val="0"/>
      <w:marBottom w:val="0"/>
      <w:divBdr>
        <w:top w:val="none" w:sz="0" w:space="0" w:color="auto"/>
        <w:left w:val="none" w:sz="0" w:space="0" w:color="auto"/>
        <w:bottom w:val="none" w:sz="0" w:space="0" w:color="auto"/>
        <w:right w:val="none" w:sz="0" w:space="0" w:color="auto"/>
      </w:divBdr>
    </w:div>
    <w:div w:id="431320660">
      <w:bodyDiv w:val="1"/>
      <w:marLeft w:val="0"/>
      <w:marRight w:val="0"/>
      <w:marTop w:val="0"/>
      <w:marBottom w:val="0"/>
      <w:divBdr>
        <w:top w:val="none" w:sz="0" w:space="0" w:color="auto"/>
        <w:left w:val="none" w:sz="0" w:space="0" w:color="auto"/>
        <w:bottom w:val="none" w:sz="0" w:space="0" w:color="auto"/>
        <w:right w:val="none" w:sz="0" w:space="0" w:color="auto"/>
      </w:divBdr>
    </w:div>
    <w:div w:id="513418482">
      <w:bodyDiv w:val="1"/>
      <w:marLeft w:val="0"/>
      <w:marRight w:val="0"/>
      <w:marTop w:val="0"/>
      <w:marBottom w:val="0"/>
      <w:divBdr>
        <w:top w:val="none" w:sz="0" w:space="0" w:color="auto"/>
        <w:left w:val="none" w:sz="0" w:space="0" w:color="auto"/>
        <w:bottom w:val="none" w:sz="0" w:space="0" w:color="auto"/>
        <w:right w:val="none" w:sz="0" w:space="0" w:color="auto"/>
      </w:divBdr>
    </w:div>
    <w:div w:id="533422423">
      <w:bodyDiv w:val="1"/>
      <w:marLeft w:val="0"/>
      <w:marRight w:val="0"/>
      <w:marTop w:val="0"/>
      <w:marBottom w:val="0"/>
      <w:divBdr>
        <w:top w:val="none" w:sz="0" w:space="0" w:color="auto"/>
        <w:left w:val="none" w:sz="0" w:space="0" w:color="auto"/>
        <w:bottom w:val="none" w:sz="0" w:space="0" w:color="auto"/>
        <w:right w:val="none" w:sz="0" w:space="0" w:color="auto"/>
      </w:divBdr>
    </w:div>
    <w:div w:id="534343169">
      <w:bodyDiv w:val="1"/>
      <w:marLeft w:val="0"/>
      <w:marRight w:val="0"/>
      <w:marTop w:val="0"/>
      <w:marBottom w:val="0"/>
      <w:divBdr>
        <w:top w:val="none" w:sz="0" w:space="0" w:color="auto"/>
        <w:left w:val="none" w:sz="0" w:space="0" w:color="auto"/>
        <w:bottom w:val="none" w:sz="0" w:space="0" w:color="auto"/>
        <w:right w:val="none" w:sz="0" w:space="0" w:color="auto"/>
      </w:divBdr>
      <w:divsChild>
        <w:div w:id="903098969">
          <w:marLeft w:val="0"/>
          <w:marRight w:val="0"/>
          <w:marTop w:val="0"/>
          <w:marBottom w:val="0"/>
          <w:divBdr>
            <w:top w:val="none" w:sz="0" w:space="0" w:color="auto"/>
            <w:left w:val="none" w:sz="0" w:space="0" w:color="auto"/>
            <w:bottom w:val="none" w:sz="0" w:space="0" w:color="auto"/>
            <w:right w:val="none" w:sz="0" w:space="0" w:color="auto"/>
          </w:divBdr>
          <w:divsChild>
            <w:div w:id="601423970">
              <w:marLeft w:val="0"/>
              <w:marRight w:val="0"/>
              <w:marTop w:val="0"/>
              <w:marBottom w:val="0"/>
              <w:divBdr>
                <w:top w:val="none" w:sz="0" w:space="0" w:color="auto"/>
                <w:left w:val="none" w:sz="0" w:space="0" w:color="auto"/>
                <w:bottom w:val="none" w:sz="0" w:space="0" w:color="auto"/>
                <w:right w:val="none" w:sz="0" w:space="0" w:color="auto"/>
              </w:divBdr>
              <w:divsChild>
                <w:div w:id="43105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524044">
      <w:bodyDiv w:val="1"/>
      <w:marLeft w:val="0"/>
      <w:marRight w:val="0"/>
      <w:marTop w:val="0"/>
      <w:marBottom w:val="0"/>
      <w:divBdr>
        <w:top w:val="none" w:sz="0" w:space="0" w:color="auto"/>
        <w:left w:val="none" w:sz="0" w:space="0" w:color="auto"/>
        <w:bottom w:val="none" w:sz="0" w:space="0" w:color="auto"/>
        <w:right w:val="none" w:sz="0" w:space="0" w:color="auto"/>
      </w:divBdr>
    </w:div>
    <w:div w:id="630289217">
      <w:bodyDiv w:val="1"/>
      <w:marLeft w:val="0"/>
      <w:marRight w:val="0"/>
      <w:marTop w:val="0"/>
      <w:marBottom w:val="0"/>
      <w:divBdr>
        <w:top w:val="none" w:sz="0" w:space="0" w:color="auto"/>
        <w:left w:val="none" w:sz="0" w:space="0" w:color="auto"/>
        <w:bottom w:val="none" w:sz="0" w:space="0" w:color="auto"/>
        <w:right w:val="none" w:sz="0" w:space="0" w:color="auto"/>
      </w:divBdr>
    </w:div>
    <w:div w:id="653797191">
      <w:bodyDiv w:val="1"/>
      <w:marLeft w:val="0"/>
      <w:marRight w:val="0"/>
      <w:marTop w:val="0"/>
      <w:marBottom w:val="0"/>
      <w:divBdr>
        <w:top w:val="none" w:sz="0" w:space="0" w:color="auto"/>
        <w:left w:val="none" w:sz="0" w:space="0" w:color="auto"/>
        <w:bottom w:val="none" w:sz="0" w:space="0" w:color="auto"/>
        <w:right w:val="none" w:sz="0" w:space="0" w:color="auto"/>
      </w:divBdr>
      <w:divsChild>
        <w:div w:id="1710300770">
          <w:marLeft w:val="0"/>
          <w:marRight w:val="0"/>
          <w:marTop w:val="0"/>
          <w:marBottom w:val="0"/>
          <w:divBdr>
            <w:top w:val="none" w:sz="0" w:space="0" w:color="auto"/>
            <w:left w:val="none" w:sz="0" w:space="0" w:color="auto"/>
            <w:bottom w:val="none" w:sz="0" w:space="0" w:color="auto"/>
            <w:right w:val="none" w:sz="0" w:space="0" w:color="auto"/>
          </w:divBdr>
          <w:divsChild>
            <w:div w:id="1010177929">
              <w:marLeft w:val="0"/>
              <w:marRight w:val="0"/>
              <w:marTop w:val="0"/>
              <w:marBottom w:val="0"/>
              <w:divBdr>
                <w:top w:val="none" w:sz="0" w:space="0" w:color="auto"/>
                <w:left w:val="none" w:sz="0" w:space="0" w:color="auto"/>
                <w:bottom w:val="none" w:sz="0" w:space="0" w:color="auto"/>
                <w:right w:val="none" w:sz="0" w:space="0" w:color="auto"/>
              </w:divBdr>
              <w:divsChild>
                <w:div w:id="137935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74176">
      <w:bodyDiv w:val="1"/>
      <w:marLeft w:val="0"/>
      <w:marRight w:val="0"/>
      <w:marTop w:val="0"/>
      <w:marBottom w:val="0"/>
      <w:divBdr>
        <w:top w:val="none" w:sz="0" w:space="0" w:color="auto"/>
        <w:left w:val="none" w:sz="0" w:space="0" w:color="auto"/>
        <w:bottom w:val="none" w:sz="0" w:space="0" w:color="auto"/>
        <w:right w:val="none" w:sz="0" w:space="0" w:color="auto"/>
      </w:divBdr>
    </w:div>
    <w:div w:id="802694032">
      <w:bodyDiv w:val="1"/>
      <w:marLeft w:val="0"/>
      <w:marRight w:val="0"/>
      <w:marTop w:val="0"/>
      <w:marBottom w:val="0"/>
      <w:divBdr>
        <w:top w:val="none" w:sz="0" w:space="0" w:color="auto"/>
        <w:left w:val="none" w:sz="0" w:space="0" w:color="auto"/>
        <w:bottom w:val="none" w:sz="0" w:space="0" w:color="auto"/>
        <w:right w:val="none" w:sz="0" w:space="0" w:color="auto"/>
      </w:divBdr>
    </w:div>
    <w:div w:id="848060165">
      <w:bodyDiv w:val="1"/>
      <w:marLeft w:val="0"/>
      <w:marRight w:val="0"/>
      <w:marTop w:val="0"/>
      <w:marBottom w:val="0"/>
      <w:divBdr>
        <w:top w:val="none" w:sz="0" w:space="0" w:color="auto"/>
        <w:left w:val="none" w:sz="0" w:space="0" w:color="auto"/>
        <w:bottom w:val="none" w:sz="0" w:space="0" w:color="auto"/>
        <w:right w:val="none" w:sz="0" w:space="0" w:color="auto"/>
      </w:divBdr>
      <w:divsChild>
        <w:div w:id="700402064">
          <w:marLeft w:val="0"/>
          <w:marRight w:val="0"/>
          <w:marTop w:val="0"/>
          <w:marBottom w:val="0"/>
          <w:divBdr>
            <w:top w:val="none" w:sz="0" w:space="0" w:color="auto"/>
            <w:left w:val="none" w:sz="0" w:space="0" w:color="auto"/>
            <w:bottom w:val="none" w:sz="0" w:space="0" w:color="auto"/>
            <w:right w:val="none" w:sz="0" w:space="0" w:color="auto"/>
          </w:divBdr>
          <w:divsChild>
            <w:div w:id="58552032">
              <w:marLeft w:val="0"/>
              <w:marRight w:val="0"/>
              <w:marTop w:val="0"/>
              <w:marBottom w:val="0"/>
              <w:divBdr>
                <w:top w:val="none" w:sz="0" w:space="0" w:color="auto"/>
                <w:left w:val="none" w:sz="0" w:space="0" w:color="auto"/>
                <w:bottom w:val="none" w:sz="0" w:space="0" w:color="auto"/>
                <w:right w:val="none" w:sz="0" w:space="0" w:color="auto"/>
              </w:divBdr>
              <w:divsChild>
                <w:div w:id="11876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176662">
      <w:bodyDiv w:val="1"/>
      <w:marLeft w:val="0"/>
      <w:marRight w:val="0"/>
      <w:marTop w:val="0"/>
      <w:marBottom w:val="0"/>
      <w:divBdr>
        <w:top w:val="none" w:sz="0" w:space="0" w:color="auto"/>
        <w:left w:val="none" w:sz="0" w:space="0" w:color="auto"/>
        <w:bottom w:val="none" w:sz="0" w:space="0" w:color="auto"/>
        <w:right w:val="none" w:sz="0" w:space="0" w:color="auto"/>
      </w:divBdr>
    </w:div>
    <w:div w:id="948051821">
      <w:bodyDiv w:val="1"/>
      <w:marLeft w:val="0"/>
      <w:marRight w:val="0"/>
      <w:marTop w:val="0"/>
      <w:marBottom w:val="0"/>
      <w:divBdr>
        <w:top w:val="none" w:sz="0" w:space="0" w:color="auto"/>
        <w:left w:val="none" w:sz="0" w:space="0" w:color="auto"/>
        <w:bottom w:val="none" w:sz="0" w:space="0" w:color="auto"/>
        <w:right w:val="none" w:sz="0" w:space="0" w:color="auto"/>
      </w:divBdr>
      <w:divsChild>
        <w:div w:id="1011637453">
          <w:marLeft w:val="0"/>
          <w:marRight w:val="0"/>
          <w:marTop w:val="0"/>
          <w:marBottom w:val="0"/>
          <w:divBdr>
            <w:top w:val="none" w:sz="0" w:space="0" w:color="auto"/>
            <w:left w:val="none" w:sz="0" w:space="0" w:color="auto"/>
            <w:bottom w:val="none" w:sz="0" w:space="0" w:color="auto"/>
            <w:right w:val="none" w:sz="0" w:space="0" w:color="auto"/>
          </w:divBdr>
          <w:divsChild>
            <w:div w:id="562453732">
              <w:marLeft w:val="0"/>
              <w:marRight w:val="0"/>
              <w:marTop w:val="0"/>
              <w:marBottom w:val="0"/>
              <w:divBdr>
                <w:top w:val="none" w:sz="0" w:space="0" w:color="auto"/>
                <w:left w:val="none" w:sz="0" w:space="0" w:color="auto"/>
                <w:bottom w:val="none" w:sz="0" w:space="0" w:color="auto"/>
                <w:right w:val="none" w:sz="0" w:space="0" w:color="auto"/>
              </w:divBdr>
              <w:divsChild>
                <w:div w:id="1885825676">
                  <w:marLeft w:val="0"/>
                  <w:marRight w:val="0"/>
                  <w:marTop w:val="0"/>
                  <w:marBottom w:val="0"/>
                  <w:divBdr>
                    <w:top w:val="none" w:sz="0" w:space="0" w:color="auto"/>
                    <w:left w:val="none" w:sz="0" w:space="0" w:color="auto"/>
                    <w:bottom w:val="none" w:sz="0" w:space="0" w:color="auto"/>
                    <w:right w:val="none" w:sz="0" w:space="0" w:color="auto"/>
                  </w:divBdr>
                  <w:divsChild>
                    <w:div w:id="180492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237210">
      <w:bodyDiv w:val="1"/>
      <w:marLeft w:val="0"/>
      <w:marRight w:val="0"/>
      <w:marTop w:val="0"/>
      <w:marBottom w:val="0"/>
      <w:divBdr>
        <w:top w:val="none" w:sz="0" w:space="0" w:color="auto"/>
        <w:left w:val="none" w:sz="0" w:space="0" w:color="auto"/>
        <w:bottom w:val="none" w:sz="0" w:space="0" w:color="auto"/>
        <w:right w:val="none" w:sz="0" w:space="0" w:color="auto"/>
      </w:divBdr>
      <w:divsChild>
        <w:div w:id="625309769">
          <w:marLeft w:val="0"/>
          <w:marRight w:val="0"/>
          <w:marTop w:val="0"/>
          <w:marBottom w:val="0"/>
          <w:divBdr>
            <w:top w:val="none" w:sz="0" w:space="0" w:color="auto"/>
            <w:left w:val="none" w:sz="0" w:space="0" w:color="auto"/>
            <w:bottom w:val="none" w:sz="0" w:space="0" w:color="auto"/>
            <w:right w:val="none" w:sz="0" w:space="0" w:color="auto"/>
          </w:divBdr>
          <w:divsChild>
            <w:div w:id="643508878">
              <w:marLeft w:val="0"/>
              <w:marRight w:val="0"/>
              <w:marTop w:val="0"/>
              <w:marBottom w:val="0"/>
              <w:divBdr>
                <w:top w:val="none" w:sz="0" w:space="0" w:color="auto"/>
                <w:left w:val="none" w:sz="0" w:space="0" w:color="auto"/>
                <w:bottom w:val="none" w:sz="0" w:space="0" w:color="auto"/>
                <w:right w:val="none" w:sz="0" w:space="0" w:color="auto"/>
              </w:divBdr>
              <w:divsChild>
                <w:div w:id="9724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12295">
      <w:bodyDiv w:val="1"/>
      <w:marLeft w:val="0"/>
      <w:marRight w:val="0"/>
      <w:marTop w:val="0"/>
      <w:marBottom w:val="0"/>
      <w:divBdr>
        <w:top w:val="none" w:sz="0" w:space="0" w:color="auto"/>
        <w:left w:val="none" w:sz="0" w:space="0" w:color="auto"/>
        <w:bottom w:val="none" w:sz="0" w:space="0" w:color="auto"/>
        <w:right w:val="none" w:sz="0" w:space="0" w:color="auto"/>
      </w:divBdr>
    </w:div>
    <w:div w:id="1068302910">
      <w:bodyDiv w:val="1"/>
      <w:marLeft w:val="0"/>
      <w:marRight w:val="0"/>
      <w:marTop w:val="0"/>
      <w:marBottom w:val="0"/>
      <w:divBdr>
        <w:top w:val="none" w:sz="0" w:space="0" w:color="auto"/>
        <w:left w:val="none" w:sz="0" w:space="0" w:color="auto"/>
        <w:bottom w:val="none" w:sz="0" w:space="0" w:color="auto"/>
        <w:right w:val="none" w:sz="0" w:space="0" w:color="auto"/>
      </w:divBdr>
    </w:div>
    <w:div w:id="1336879814">
      <w:bodyDiv w:val="1"/>
      <w:marLeft w:val="0"/>
      <w:marRight w:val="0"/>
      <w:marTop w:val="0"/>
      <w:marBottom w:val="0"/>
      <w:divBdr>
        <w:top w:val="none" w:sz="0" w:space="0" w:color="auto"/>
        <w:left w:val="none" w:sz="0" w:space="0" w:color="auto"/>
        <w:bottom w:val="none" w:sz="0" w:space="0" w:color="auto"/>
        <w:right w:val="none" w:sz="0" w:space="0" w:color="auto"/>
      </w:divBdr>
    </w:div>
    <w:div w:id="1387680330">
      <w:bodyDiv w:val="1"/>
      <w:marLeft w:val="0"/>
      <w:marRight w:val="0"/>
      <w:marTop w:val="0"/>
      <w:marBottom w:val="0"/>
      <w:divBdr>
        <w:top w:val="none" w:sz="0" w:space="0" w:color="auto"/>
        <w:left w:val="none" w:sz="0" w:space="0" w:color="auto"/>
        <w:bottom w:val="none" w:sz="0" w:space="0" w:color="auto"/>
        <w:right w:val="none" w:sz="0" w:space="0" w:color="auto"/>
      </w:divBdr>
    </w:div>
    <w:div w:id="1404371425">
      <w:bodyDiv w:val="1"/>
      <w:marLeft w:val="0"/>
      <w:marRight w:val="0"/>
      <w:marTop w:val="0"/>
      <w:marBottom w:val="0"/>
      <w:divBdr>
        <w:top w:val="none" w:sz="0" w:space="0" w:color="auto"/>
        <w:left w:val="none" w:sz="0" w:space="0" w:color="auto"/>
        <w:bottom w:val="none" w:sz="0" w:space="0" w:color="auto"/>
        <w:right w:val="none" w:sz="0" w:space="0" w:color="auto"/>
      </w:divBdr>
    </w:div>
    <w:div w:id="1548956085">
      <w:bodyDiv w:val="1"/>
      <w:marLeft w:val="0"/>
      <w:marRight w:val="0"/>
      <w:marTop w:val="0"/>
      <w:marBottom w:val="0"/>
      <w:divBdr>
        <w:top w:val="none" w:sz="0" w:space="0" w:color="auto"/>
        <w:left w:val="none" w:sz="0" w:space="0" w:color="auto"/>
        <w:bottom w:val="none" w:sz="0" w:space="0" w:color="auto"/>
        <w:right w:val="none" w:sz="0" w:space="0" w:color="auto"/>
      </w:divBdr>
    </w:div>
    <w:div w:id="1580287273">
      <w:bodyDiv w:val="1"/>
      <w:marLeft w:val="0"/>
      <w:marRight w:val="0"/>
      <w:marTop w:val="0"/>
      <w:marBottom w:val="0"/>
      <w:divBdr>
        <w:top w:val="none" w:sz="0" w:space="0" w:color="auto"/>
        <w:left w:val="none" w:sz="0" w:space="0" w:color="auto"/>
        <w:bottom w:val="none" w:sz="0" w:space="0" w:color="auto"/>
        <w:right w:val="none" w:sz="0" w:space="0" w:color="auto"/>
      </w:divBdr>
    </w:div>
    <w:div w:id="1766998722">
      <w:bodyDiv w:val="1"/>
      <w:marLeft w:val="0"/>
      <w:marRight w:val="0"/>
      <w:marTop w:val="0"/>
      <w:marBottom w:val="0"/>
      <w:divBdr>
        <w:top w:val="none" w:sz="0" w:space="0" w:color="auto"/>
        <w:left w:val="none" w:sz="0" w:space="0" w:color="auto"/>
        <w:bottom w:val="none" w:sz="0" w:space="0" w:color="auto"/>
        <w:right w:val="none" w:sz="0" w:space="0" w:color="auto"/>
      </w:divBdr>
    </w:div>
    <w:div w:id="1771508103">
      <w:bodyDiv w:val="1"/>
      <w:marLeft w:val="0"/>
      <w:marRight w:val="0"/>
      <w:marTop w:val="0"/>
      <w:marBottom w:val="0"/>
      <w:divBdr>
        <w:top w:val="none" w:sz="0" w:space="0" w:color="auto"/>
        <w:left w:val="none" w:sz="0" w:space="0" w:color="auto"/>
        <w:bottom w:val="none" w:sz="0" w:space="0" w:color="auto"/>
        <w:right w:val="none" w:sz="0" w:space="0" w:color="auto"/>
      </w:divBdr>
    </w:div>
    <w:div w:id="1803578162">
      <w:bodyDiv w:val="1"/>
      <w:marLeft w:val="0"/>
      <w:marRight w:val="0"/>
      <w:marTop w:val="0"/>
      <w:marBottom w:val="0"/>
      <w:divBdr>
        <w:top w:val="none" w:sz="0" w:space="0" w:color="auto"/>
        <w:left w:val="none" w:sz="0" w:space="0" w:color="auto"/>
        <w:bottom w:val="none" w:sz="0" w:space="0" w:color="auto"/>
        <w:right w:val="none" w:sz="0" w:space="0" w:color="auto"/>
      </w:divBdr>
    </w:div>
    <w:div w:id="1824197716">
      <w:bodyDiv w:val="1"/>
      <w:marLeft w:val="0"/>
      <w:marRight w:val="0"/>
      <w:marTop w:val="0"/>
      <w:marBottom w:val="0"/>
      <w:divBdr>
        <w:top w:val="none" w:sz="0" w:space="0" w:color="auto"/>
        <w:left w:val="none" w:sz="0" w:space="0" w:color="auto"/>
        <w:bottom w:val="none" w:sz="0" w:space="0" w:color="auto"/>
        <w:right w:val="none" w:sz="0" w:space="0" w:color="auto"/>
      </w:divBdr>
    </w:div>
    <w:div w:id="1895114155">
      <w:bodyDiv w:val="1"/>
      <w:marLeft w:val="0"/>
      <w:marRight w:val="0"/>
      <w:marTop w:val="0"/>
      <w:marBottom w:val="0"/>
      <w:divBdr>
        <w:top w:val="none" w:sz="0" w:space="0" w:color="auto"/>
        <w:left w:val="none" w:sz="0" w:space="0" w:color="auto"/>
        <w:bottom w:val="none" w:sz="0" w:space="0" w:color="auto"/>
        <w:right w:val="none" w:sz="0" w:space="0" w:color="auto"/>
      </w:divBdr>
    </w:div>
    <w:div w:id="1960185144">
      <w:bodyDiv w:val="1"/>
      <w:marLeft w:val="0"/>
      <w:marRight w:val="0"/>
      <w:marTop w:val="0"/>
      <w:marBottom w:val="0"/>
      <w:divBdr>
        <w:top w:val="none" w:sz="0" w:space="0" w:color="auto"/>
        <w:left w:val="none" w:sz="0" w:space="0" w:color="auto"/>
        <w:bottom w:val="none" w:sz="0" w:space="0" w:color="auto"/>
        <w:right w:val="none" w:sz="0" w:space="0" w:color="auto"/>
      </w:divBdr>
    </w:div>
    <w:div w:id="2011440878">
      <w:bodyDiv w:val="1"/>
      <w:marLeft w:val="0"/>
      <w:marRight w:val="0"/>
      <w:marTop w:val="0"/>
      <w:marBottom w:val="0"/>
      <w:divBdr>
        <w:top w:val="none" w:sz="0" w:space="0" w:color="auto"/>
        <w:left w:val="none" w:sz="0" w:space="0" w:color="auto"/>
        <w:bottom w:val="none" w:sz="0" w:space="0" w:color="auto"/>
        <w:right w:val="none" w:sz="0" w:space="0" w:color="auto"/>
      </w:divBdr>
    </w:div>
    <w:div w:id="2044286931">
      <w:bodyDiv w:val="1"/>
      <w:marLeft w:val="0"/>
      <w:marRight w:val="0"/>
      <w:marTop w:val="0"/>
      <w:marBottom w:val="0"/>
      <w:divBdr>
        <w:top w:val="none" w:sz="0" w:space="0" w:color="auto"/>
        <w:left w:val="none" w:sz="0" w:space="0" w:color="auto"/>
        <w:bottom w:val="none" w:sz="0" w:space="0" w:color="auto"/>
        <w:right w:val="none" w:sz="0" w:space="0" w:color="auto"/>
      </w:divBdr>
      <w:divsChild>
        <w:div w:id="1213615986">
          <w:marLeft w:val="0"/>
          <w:marRight w:val="0"/>
          <w:marTop w:val="0"/>
          <w:marBottom w:val="0"/>
          <w:divBdr>
            <w:top w:val="none" w:sz="0" w:space="0" w:color="auto"/>
            <w:left w:val="none" w:sz="0" w:space="0" w:color="auto"/>
            <w:bottom w:val="none" w:sz="0" w:space="0" w:color="auto"/>
            <w:right w:val="none" w:sz="0" w:space="0" w:color="auto"/>
          </w:divBdr>
          <w:divsChild>
            <w:div w:id="337660042">
              <w:marLeft w:val="0"/>
              <w:marRight w:val="0"/>
              <w:marTop w:val="0"/>
              <w:marBottom w:val="0"/>
              <w:divBdr>
                <w:top w:val="none" w:sz="0" w:space="0" w:color="auto"/>
                <w:left w:val="none" w:sz="0" w:space="0" w:color="auto"/>
                <w:bottom w:val="none" w:sz="0" w:space="0" w:color="auto"/>
                <w:right w:val="none" w:sz="0" w:space="0" w:color="auto"/>
              </w:divBdr>
              <w:divsChild>
                <w:div w:id="652485154">
                  <w:marLeft w:val="0"/>
                  <w:marRight w:val="0"/>
                  <w:marTop w:val="0"/>
                  <w:marBottom w:val="0"/>
                  <w:divBdr>
                    <w:top w:val="none" w:sz="0" w:space="0" w:color="auto"/>
                    <w:left w:val="none" w:sz="0" w:space="0" w:color="auto"/>
                    <w:bottom w:val="none" w:sz="0" w:space="0" w:color="auto"/>
                    <w:right w:val="none" w:sz="0" w:space="0" w:color="auto"/>
                  </w:divBdr>
                </w:div>
              </w:divsChild>
            </w:div>
            <w:div w:id="1948613029">
              <w:marLeft w:val="0"/>
              <w:marRight w:val="0"/>
              <w:marTop w:val="0"/>
              <w:marBottom w:val="0"/>
              <w:divBdr>
                <w:top w:val="none" w:sz="0" w:space="0" w:color="auto"/>
                <w:left w:val="none" w:sz="0" w:space="0" w:color="auto"/>
                <w:bottom w:val="none" w:sz="0" w:space="0" w:color="auto"/>
                <w:right w:val="none" w:sz="0" w:space="0" w:color="auto"/>
              </w:divBdr>
              <w:divsChild>
                <w:div w:id="162943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1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BEC85-9A97-604C-8870-0980A61FE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8032</Words>
  <Characters>50607</Characters>
  <Application>Microsoft Office Word</Application>
  <DocSecurity>0</DocSecurity>
  <Lines>421</Lines>
  <Paragraphs>117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rw.unibe.ch</Company>
  <LinksUpToDate>false</LinksUpToDate>
  <CharactersWithSpaces>58522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Mueller Sebastian</dc:creator>
  <cp:lastModifiedBy>Nicola Jegher</cp:lastModifiedBy>
  <cp:revision>92</cp:revision>
  <cp:lastPrinted>2022-01-24T07:11:00Z</cp:lastPrinted>
  <dcterms:created xsi:type="dcterms:W3CDTF">2022-01-03T11:11:00Z</dcterms:created>
  <dcterms:modified xsi:type="dcterms:W3CDTF">2022-03-02T10:19:00Z</dcterms:modified>
</cp:coreProperties>
</file>